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3E" w:rsidRPr="007070C8" w:rsidRDefault="00F54C3E" w:rsidP="00F54C3E">
      <w:r>
        <w:rPr>
          <w:rFonts w:ascii="Times New Roman" w:hAnsi="Times New Roman" w:cs="Times New Roman"/>
          <w:b/>
          <w:bCs/>
          <w:sz w:val="32"/>
          <w:szCs w:val="32"/>
        </w:rPr>
        <w:t>I OSK 1924/19 - wyrok NSA z dnia 12 grudnia 2019 r. -</w:t>
      </w:r>
      <w:r>
        <w:t xml:space="preserve"> </w:t>
      </w:r>
      <w:r>
        <w:rPr>
          <w:rFonts w:ascii="Times New Roman" w:hAnsi="Times New Roman" w:cs="Times New Roman"/>
          <w:b/>
          <w:bCs/>
          <w:sz w:val="32"/>
          <w:szCs w:val="32"/>
        </w:rPr>
        <w:t>omówienie</w:t>
      </w:r>
    </w:p>
    <w:p w:rsidR="00F54C3E" w:rsidRDefault="00F54C3E" w:rsidP="00F54C3E">
      <w:pPr>
        <w:jc w:val="center"/>
        <w:rPr>
          <w:rFonts w:cstheme="minorBidi"/>
        </w:rPr>
      </w:pPr>
    </w:p>
    <w:p w:rsidR="00F54C3E" w:rsidRDefault="00F54C3E" w:rsidP="00F54C3E">
      <w:pPr>
        <w:pStyle w:val="Nagb3f3wek4"/>
        <w:jc w:val="both"/>
        <w:rPr>
          <w:rFonts w:cstheme="minorBidi"/>
          <w:bCs w:val="0"/>
          <w:szCs w:val="24"/>
        </w:rPr>
      </w:pPr>
      <w:r>
        <w:rPr>
          <w:rFonts w:ascii="Times New Roman" w:hAnsi="Times New Roman" w:cs="Times New Roman"/>
          <w:b w:val="0"/>
          <w:bCs w:val="0"/>
          <w:szCs w:val="24"/>
        </w:rPr>
        <w:t>Dotyczy L. S.:</w:t>
      </w:r>
    </w:p>
    <w:p w:rsidR="00F54C3E" w:rsidRDefault="00F54C3E" w:rsidP="00F54C3E">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w:t>
      </w:r>
      <w:r>
        <w:rPr>
          <w:rFonts w:ascii="Helvetica" w:hAnsi="Helvetica" w:cs="Helvetica"/>
          <w:b w:val="0"/>
          <w:bCs w:val="0"/>
          <w:szCs w:val="24"/>
        </w:rPr>
        <w:t xml:space="preserve"> </w:t>
      </w:r>
      <w:r>
        <w:rPr>
          <w:rFonts w:ascii="Times New Roman" w:hAnsi="Times New Roman" w:cs="Times New Roman"/>
          <w:b w:val="0"/>
          <w:bCs w:val="0"/>
          <w:szCs w:val="24"/>
        </w:rPr>
        <w:t xml:space="preserve">inspektor referatu [...] SB Rejonowego Urzędu Spraw Wewnętrznych </w:t>
      </w:r>
    </w:p>
    <w:p w:rsidR="00F54C3E" w:rsidRDefault="00F54C3E" w:rsidP="00F54C3E">
      <w:pPr>
        <w:pStyle w:val="Nagb3f3wek4"/>
        <w:jc w:val="both"/>
        <w:rPr>
          <w:rFonts w:cstheme="minorBidi"/>
          <w:bCs w:val="0"/>
          <w:szCs w:val="24"/>
        </w:rPr>
      </w:pPr>
      <w:r>
        <w:rPr>
          <w:rFonts w:ascii="Times New Roman" w:hAnsi="Times New Roman" w:cs="Times New Roman"/>
          <w:bCs w:val="0"/>
          <w:szCs w:val="24"/>
        </w:rPr>
        <w:t>czas służby</w:t>
      </w:r>
      <w:r>
        <w:rPr>
          <w:rFonts w:ascii="Times New Roman" w:hAnsi="Times New Roman" w:cs="Times New Roman"/>
          <w:b w:val="0"/>
          <w:bCs w:val="0"/>
          <w:szCs w:val="24"/>
        </w:rPr>
        <w:t xml:space="preserve"> – 5,5 miesiąca do 20 lat i 11 miesięcy wg organu (23 lata wg L. S.) </w:t>
      </w:r>
    </w:p>
    <w:p w:rsidR="00F54C3E" w:rsidRDefault="00F54C3E" w:rsidP="00F54C3E">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listopada 2018 r. odmówił L. S. zastosowania wyłączenia wynikającego z art. 8a ustawy zaopatrzeniowej.</w:t>
      </w:r>
    </w:p>
    <w:p w:rsidR="00F54C3E" w:rsidRDefault="00F54C3E" w:rsidP="00F54C3E">
      <w:pPr>
        <w:pStyle w:val="Nagb3f3wek4"/>
        <w:jc w:val="both"/>
        <w:rPr>
          <w:rFonts w:cstheme="minorBidi"/>
          <w:bCs w:val="0"/>
          <w:szCs w:val="24"/>
        </w:rPr>
      </w:pPr>
      <w:r>
        <w:rPr>
          <w:rFonts w:ascii="Times New Roman" w:hAnsi="Times New Roman" w:cs="Times New Roman"/>
          <w:b w:val="0"/>
          <w:bCs w:val="0"/>
          <w:szCs w:val="24"/>
        </w:rPr>
        <w:t>Wojewódzki Sądu Administracyjny w Warszawie wyrokiem z dnia 17 kwietnia 2019 r. sygn. akt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60/19</w:t>
      </w:r>
      <w:r>
        <w:rPr>
          <w:rFonts w:ascii="Helvetica" w:hAnsi="Helvetica" w:cs="Helvetica"/>
          <w:b w:val="0"/>
          <w:bCs w:val="0"/>
          <w:szCs w:val="24"/>
        </w:rPr>
        <w:t xml:space="preserve"> </w:t>
      </w:r>
      <w:r>
        <w:rPr>
          <w:rFonts w:ascii="Times New Roman" w:hAnsi="Times New Roman" w:cs="Times New Roman"/>
          <w:b w:val="0"/>
          <w:bCs w:val="0"/>
          <w:szCs w:val="24"/>
        </w:rPr>
        <w:t xml:space="preserve"> uchylił decyzję ministra.</w:t>
      </w:r>
    </w:p>
    <w:p w:rsidR="00F54C3E" w:rsidRDefault="00F54C3E" w:rsidP="00F54C3E">
      <w:pPr>
        <w:pStyle w:val="Nagb3f3wek4"/>
        <w:jc w:val="both"/>
        <w:rPr>
          <w:rFonts w:cstheme="minorBidi"/>
          <w:bCs w:val="0"/>
          <w:szCs w:val="24"/>
        </w:rPr>
      </w:pPr>
      <w:r>
        <w:rPr>
          <w:rFonts w:ascii="Times New Roman" w:hAnsi="Times New Roman" w:cs="Times New Roman"/>
          <w:b w:val="0"/>
          <w:bCs w:val="0"/>
          <w:szCs w:val="24"/>
        </w:rPr>
        <w:t xml:space="preserve">Minister Spraw Wewnętrznych i Administracji wniósł od tego wyroku skargę kasacyjną. </w:t>
      </w:r>
    </w:p>
    <w:p w:rsidR="00F54C3E" w:rsidRDefault="00F54C3E" w:rsidP="00F54C3E">
      <w:pPr>
        <w:pStyle w:val="Nagb3f3wek4"/>
        <w:jc w:val="both"/>
        <w:rPr>
          <w:rFonts w:cstheme="minorBidi"/>
          <w:bCs w:val="0"/>
          <w:szCs w:val="24"/>
        </w:rPr>
      </w:pPr>
      <w:r>
        <w:rPr>
          <w:rFonts w:ascii="Times New Roman" w:hAnsi="Times New Roman" w:cs="Times New Roman"/>
          <w:b w:val="0"/>
          <w:bCs w:val="0"/>
          <w:szCs w:val="24"/>
        </w:rPr>
        <w:t>Naczelny Sąd Administracyjny skargę kasacyjną ministra - oddalił.</w:t>
      </w:r>
    </w:p>
    <w:p w:rsidR="00F54C3E" w:rsidRDefault="00F54C3E" w:rsidP="00F54C3E">
      <w:pPr>
        <w:pStyle w:val="Tre9ce6tekstu"/>
        <w:jc w:val="both"/>
        <w:rPr>
          <w:rFonts w:cstheme="minorBidi"/>
        </w:rPr>
      </w:pPr>
      <w:r>
        <w:rPr>
          <w:rFonts w:ascii="Times New Roman" w:hAnsi="Times New Roman" w:cs="Times New Roman"/>
          <w:sz w:val="28"/>
          <w:szCs w:val="28"/>
        </w:rPr>
        <w:t xml:space="preserve">                                                 _______________</w:t>
      </w:r>
    </w:p>
    <w:p w:rsidR="00F54C3E" w:rsidRDefault="00F54C3E" w:rsidP="00F54C3E">
      <w:pPr>
        <w:rPr>
          <w:rFonts w:ascii="Times New Roman" w:hAnsi="Times New Roman" w:cs="Times New Roman"/>
          <w:sz w:val="28"/>
          <w:szCs w:val="28"/>
        </w:rPr>
      </w:pPr>
    </w:p>
    <w:p w:rsidR="00F54C3E" w:rsidRDefault="00F54C3E" w:rsidP="00F54C3E">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ze względu na:</w:t>
      </w:r>
    </w:p>
    <w:p w:rsidR="00F54C3E" w:rsidRDefault="00F54C3E" w:rsidP="00F54C3E">
      <w:pPr>
        <w:jc w:val="both"/>
        <w:rPr>
          <w:rFonts w:ascii="Times New Roman" w:hAnsi="Times New Roman" w:cs="Times New Roman"/>
          <w:sz w:val="28"/>
          <w:szCs w:val="28"/>
        </w:rPr>
      </w:pPr>
    </w:p>
    <w:p w:rsidR="00F54C3E" w:rsidRDefault="00F54C3E" w:rsidP="00F54C3E">
      <w:pPr>
        <w:pStyle w:val="Tre9ce6tekstu"/>
        <w:spacing w:before="57" w:after="57"/>
        <w:jc w:val="both"/>
        <w:rPr>
          <w:rFonts w:cstheme="minorBidi"/>
        </w:rPr>
      </w:pPr>
      <w:r>
        <w:rPr>
          <w:rFonts w:ascii="Times New Roman" w:hAnsi="Times New Roman" w:cs="Times New Roman"/>
          <w:sz w:val="28"/>
          <w:szCs w:val="28"/>
        </w:rPr>
        <w:t xml:space="preserve">1)  krótkotrwałą służbę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F54C3E" w:rsidRDefault="00F54C3E" w:rsidP="00F54C3E">
      <w:pPr>
        <w:pStyle w:val="Tre9ce6tekstu"/>
        <w:spacing w:before="57" w:after="57"/>
        <w:jc w:val="both"/>
        <w:rPr>
          <w:rFonts w:cstheme="minorBidi"/>
        </w:rPr>
      </w:pPr>
      <w:r>
        <w:rPr>
          <w:rFonts w:ascii="Times New Roman" w:hAnsi="Times New Roman" w:cs="Times New Roman"/>
          <w:sz w:val="28"/>
          <w:szCs w:val="28"/>
        </w:rPr>
        <w:t xml:space="preserve"> oraz</w:t>
      </w:r>
    </w:p>
    <w:p w:rsidR="00F54C3E" w:rsidRDefault="00F54C3E" w:rsidP="00F54C3E">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F54C3E" w:rsidRDefault="00F54C3E" w:rsidP="00F54C3E">
      <w:pPr>
        <w:pStyle w:val="Tre9ce6tekstu"/>
        <w:spacing w:after="0"/>
        <w:jc w:val="both"/>
        <w:rPr>
          <w:rFonts w:cstheme="minorBidi"/>
        </w:rPr>
      </w:pPr>
    </w:p>
    <w:p w:rsidR="00F54C3E" w:rsidRDefault="00F54C3E" w:rsidP="00F54C3E">
      <w:pPr>
        <w:pStyle w:val="Tre9ce6tekstu"/>
        <w:spacing w:after="0"/>
        <w:jc w:val="both"/>
        <w:rPr>
          <w:rFonts w:ascii="Times New Roman" w:hAnsi="Times New Roman" w:cs="Times New Roman"/>
          <w:sz w:val="28"/>
          <w:szCs w:val="28"/>
        </w:rPr>
      </w:pPr>
    </w:p>
    <w:p w:rsidR="00F54C3E" w:rsidRDefault="00F54C3E" w:rsidP="00F54C3E">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F54C3E" w:rsidRDefault="00F54C3E" w:rsidP="00F54C3E">
      <w:pPr>
        <w:pStyle w:val="Tre9ce6tekstu"/>
        <w:spacing w:before="57" w:after="57"/>
        <w:jc w:val="both"/>
        <w:rPr>
          <w:rFonts w:cstheme="minorBidi"/>
        </w:rPr>
      </w:pPr>
      <w:r>
        <w:rPr>
          <w:rFonts w:ascii="Times New Roman" w:hAnsi="Times New Roman" w:cs="Times New Roman"/>
          <w:sz w:val="28"/>
          <w:szCs w:val="28"/>
        </w:rPr>
        <w:t>Krótkotrwałość i rzetelność muszą występować łącznie, przy czym:</w:t>
      </w:r>
    </w:p>
    <w:p w:rsidR="00F54C3E" w:rsidRDefault="00F54C3E" w:rsidP="00F54C3E">
      <w:pPr>
        <w:pStyle w:val="Tre9ce6tekstu"/>
        <w:spacing w:before="57" w:after="57"/>
        <w:jc w:val="both"/>
        <w:rPr>
          <w:rFonts w:cstheme="minorBidi"/>
        </w:rPr>
      </w:pPr>
      <w:r>
        <w:rPr>
          <w:rFonts w:ascii="Times New Roman" w:hAnsi="Times New Roman" w:cs="Times New Roman"/>
          <w:sz w:val="28"/>
          <w:szCs w:val="28"/>
        </w:rPr>
        <w:t xml:space="preserve">- nie wystąpiła krótkotrwałość </w:t>
      </w:r>
      <w:r>
        <w:rPr>
          <w:rFonts w:ascii="Times New Roman" w:hAnsi="Times New Roman" w:cs="Times New Roman"/>
          <w:b/>
          <w:bCs/>
          <w:sz w:val="28"/>
          <w:szCs w:val="28"/>
        </w:rPr>
        <w:t>5,5</w:t>
      </w:r>
      <w:r>
        <w:rPr>
          <w:rFonts w:ascii="Times New Roman" w:hAnsi="Times New Roman" w:cs="Times New Roman"/>
          <w:sz w:val="28"/>
          <w:szCs w:val="28"/>
        </w:rPr>
        <w:t xml:space="preserve"> miesiąca służby na rzecz TP wobec całego okresu pełnienia służby </w:t>
      </w:r>
      <w:r>
        <w:rPr>
          <w:rFonts w:ascii="Times New Roman" w:hAnsi="Times New Roman" w:cs="Times New Roman"/>
          <w:b/>
          <w:bCs/>
          <w:sz w:val="28"/>
          <w:szCs w:val="28"/>
        </w:rPr>
        <w:t>20 lat i 11 miesięcy</w:t>
      </w:r>
      <w:r>
        <w:rPr>
          <w:rFonts w:ascii="Times New Roman" w:hAnsi="Times New Roman" w:cs="Times New Roman"/>
          <w:sz w:val="28"/>
          <w:szCs w:val="28"/>
        </w:rPr>
        <w:t xml:space="preserve">, </w:t>
      </w:r>
    </w:p>
    <w:p w:rsidR="00F54C3E" w:rsidRDefault="00F54C3E" w:rsidP="00F54C3E">
      <w:pPr>
        <w:pStyle w:val="Tre9ce6tekstu"/>
        <w:jc w:val="both"/>
        <w:rPr>
          <w:rFonts w:cstheme="minorBidi"/>
        </w:rPr>
      </w:pPr>
      <w:r>
        <w:rPr>
          <w:rFonts w:ascii="Times New Roman" w:hAnsi="Times New Roman" w:cs="Times New Roman"/>
          <w:sz w:val="28"/>
          <w:szCs w:val="28"/>
        </w:rPr>
        <w:t>- nie wystąpiła rzetelność bo wnioskodawca nie legitymuje się wybitnymi osiągnięciami w służbie, szczególnie wyróżniającymi go na tle innych funkcjonariuszy.</w:t>
      </w:r>
    </w:p>
    <w:p w:rsidR="00F54C3E" w:rsidRDefault="00F54C3E" w:rsidP="00F54C3E">
      <w:pPr>
        <w:pStyle w:val="Tre9ce6tekstu"/>
        <w:jc w:val="both"/>
        <w:rPr>
          <w:rFonts w:cstheme="minorBidi"/>
        </w:rPr>
      </w:pPr>
    </w:p>
    <w:p w:rsidR="00F54C3E" w:rsidRDefault="00F54C3E" w:rsidP="00F54C3E">
      <w:pPr>
        <w:pStyle w:val="Tre9ce6tekstu"/>
        <w:jc w:val="both"/>
        <w:rPr>
          <w:rFonts w:cstheme="minorBidi"/>
        </w:rPr>
      </w:pPr>
      <w:r>
        <w:rPr>
          <w:rFonts w:ascii="Times New Roman" w:hAnsi="Times New Roman" w:cs="Times New Roman"/>
          <w:b/>
          <w:bCs/>
          <w:sz w:val="28"/>
          <w:szCs w:val="28"/>
        </w:rPr>
        <w:lastRenderedPageBreak/>
        <w:t>Argumenty przywołane przez Wojewódzki Sąd Administracyjny</w:t>
      </w:r>
    </w:p>
    <w:p w:rsidR="00F54C3E" w:rsidRDefault="00F54C3E" w:rsidP="00F54C3E">
      <w:pPr>
        <w:pStyle w:val="Tre9ce6tekstu"/>
        <w:jc w:val="both"/>
        <w:rPr>
          <w:rFonts w:cstheme="minorBidi"/>
        </w:rPr>
      </w:pPr>
      <w:r>
        <w:rPr>
          <w:rFonts w:ascii="Times New Roman" w:hAnsi="Times New Roman" w:cs="Times New Roman"/>
          <w:sz w:val="28"/>
          <w:szCs w:val="28"/>
        </w:rPr>
        <w:t xml:space="preserve">Sąd Administracyjny uznał, że: </w:t>
      </w:r>
    </w:p>
    <w:p w:rsidR="00F54C3E" w:rsidRDefault="00F54C3E" w:rsidP="00F54C3E">
      <w:pPr>
        <w:pStyle w:val="Tre9ce6tekstu"/>
        <w:jc w:val="both"/>
        <w:rPr>
          <w:rFonts w:cstheme="minorBidi"/>
        </w:rPr>
      </w:pPr>
      <w:r>
        <w:rPr>
          <w:rFonts w:ascii="Times New Roman" w:hAnsi="Times New Roman" w:cs="Times New Roman"/>
          <w:sz w:val="28"/>
          <w:szCs w:val="28"/>
        </w:rPr>
        <w:t>- organ nie wyjaśnił dlaczego okres pełnienia służby na rzecz TP nie był okresem krótkotrwałym,</w:t>
      </w:r>
    </w:p>
    <w:p w:rsidR="00F54C3E" w:rsidRDefault="00F54C3E" w:rsidP="00F54C3E">
      <w:pPr>
        <w:pStyle w:val="Tre9ce6tekstu"/>
        <w:jc w:val="both"/>
        <w:rPr>
          <w:rFonts w:cstheme="minorBidi"/>
        </w:rPr>
      </w:pPr>
      <w:r>
        <w:rPr>
          <w:rFonts w:ascii="Times New Roman" w:hAnsi="Times New Roman" w:cs="Times New Roman"/>
          <w:sz w:val="28"/>
          <w:szCs w:val="28"/>
        </w:rPr>
        <w:t>-  organ nie wyjaśnił dlaczego nie zastosował kryterium rzetelności pomimo nagród i awansów.</w:t>
      </w:r>
    </w:p>
    <w:p w:rsidR="00F54C3E" w:rsidRDefault="00F54C3E" w:rsidP="00F54C3E">
      <w:pPr>
        <w:pStyle w:val="Tre9ce6tekstu"/>
        <w:jc w:val="both"/>
        <w:rPr>
          <w:rFonts w:cstheme="minorBidi"/>
        </w:rPr>
      </w:pPr>
    </w:p>
    <w:p w:rsidR="00F54C3E" w:rsidRDefault="00F54C3E" w:rsidP="00F54C3E">
      <w:pPr>
        <w:pStyle w:val="Tre9ce6tekstu"/>
        <w:jc w:val="both"/>
        <w:rPr>
          <w:rFonts w:cstheme="minorBidi"/>
        </w:rPr>
      </w:pPr>
      <w:r>
        <w:rPr>
          <w:rFonts w:ascii="Times New Roman" w:hAnsi="Times New Roman" w:cs="Times New Roman"/>
          <w:b/>
          <w:bCs/>
          <w:sz w:val="28"/>
          <w:szCs w:val="28"/>
        </w:rPr>
        <w:t>Stanowisko Naczelnego Sadu Administracyjnego.</w:t>
      </w:r>
    </w:p>
    <w:p w:rsidR="00F54C3E" w:rsidRDefault="00F54C3E" w:rsidP="00F54C3E">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F54C3E" w:rsidRDefault="00F54C3E" w:rsidP="00F54C3E">
      <w:pPr>
        <w:pStyle w:val="Tre9ce6tekstu"/>
        <w:jc w:val="both"/>
        <w:rPr>
          <w:rFonts w:cstheme="minorBidi"/>
        </w:rPr>
      </w:pPr>
      <w:r>
        <w:rPr>
          <w:rFonts w:ascii="Times New Roman" w:hAnsi="Times New Roman" w:cs="Times New Roman"/>
          <w:sz w:val="28"/>
          <w:szCs w:val="28"/>
        </w:rPr>
        <w:t>- "szczególnie uzasadnione przypadki",</w:t>
      </w:r>
    </w:p>
    <w:p w:rsidR="00F54C3E" w:rsidRDefault="00F54C3E" w:rsidP="00F54C3E">
      <w:pPr>
        <w:pStyle w:val="Tre9ce6tekstu"/>
        <w:jc w:val="both"/>
        <w:rPr>
          <w:rFonts w:cstheme="minorBidi"/>
        </w:rPr>
      </w:pPr>
      <w:r>
        <w:rPr>
          <w:rFonts w:ascii="Times New Roman" w:hAnsi="Times New Roman" w:cs="Times New Roman"/>
          <w:sz w:val="28"/>
          <w:szCs w:val="28"/>
        </w:rPr>
        <w:t>- "krótkotrwała służba",</w:t>
      </w:r>
    </w:p>
    <w:p w:rsidR="00F54C3E" w:rsidRDefault="00F54C3E" w:rsidP="00F54C3E">
      <w:pPr>
        <w:pStyle w:val="Tre9ce6tekstu"/>
        <w:jc w:val="both"/>
        <w:rPr>
          <w:rFonts w:cstheme="minorBidi"/>
        </w:rPr>
      </w:pPr>
      <w:r>
        <w:rPr>
          <w:rFonts w:ascii="Times New Roman" w:hAnsi="Times New Roman" w:cs="Times New Roman"/>
          <w:sz w:val="28"/>
          <w:szCs w:val="28"/>
        </w:rPr>
        <w:t>- "rzetelne wykonywanie zadań i obowiązków".</w:t>
      </w:r>
    </w:p>
    <w:p w:rsidR="00F54C3E" w:rsidRDefault="00F54C3E" w:rsidP="00F54C3E">
      <w:pPr>
        <w:pStyle w:val="Tre9ce6tekstu"/>
        <w:rPr>
          <w:rFonts w:cstheme="minorBidi"/>
        </w:rPr>
      </w:pPr>
    </w:p>
    <w:p w:rsidR="00F54C3E" w:rsidRDefault="00F54C3E" w:rsidP="00F54C3E">
      <w:pPr>
        <w:pStyle w:val="Tre9ce6tekstu"/>
        <w:rPr>
          <w:rFonts w:cstheme="minorBidi"/>
        </w:rPr>
      </w:pPr>
      <w:r>
        <w:rPr>
          <w:rFonts w:ascii="Times New Roman" w:hAnsi="Times New Roman" w:cs="Times New Roman"/>
          <w:sz w:val="28"/>
          <w:szCs w:val="28"/>
          <w:u w:val="single"/>
        </w:rPr>
        <w:t>Szczególnie uzasadnione przypadki</w:t>
      </w:r>
    </w:p>
    <w:p w:rsidR="00F54C3E" w:rsidRDefault="00F54C3E" w:rsidP="00F54C3E">
      <w:pPr>
        <w:pStyle w:val="Tre9ce6tekstu"/>
        <w:jc w:val="both"/>
        <w:rPr>
          <w:rFonts w:cstheme="minorBidi"/>
        </w:rPr>
      </w:pPr>
      <w:r>
        <w:rPr>
          <w:rFonts w:ascii="Times New Roman" w:hAnsi="Times New Roman" w:cs="Times New Roman"/>
          <w:sz w:val="28"/>
          <w:szCs w:val="28"/>
        </w:rPr>
        <w:t>Są to przypadki, gdy działalność takiej osoby nie charakteryzowała się zaangażowaniem w działalność właściwą TP, a była aktywnością ograniczającą się do zwykłych, standardowych działań podejmowanych w służbie publicznej.</w:t>
      </w:r>
    </w:p>
    <w:p w:rsidR="00F54C3E" w:rsidRDefault="00F54C3E" w:rsidP="00F54C3E">
      <w:pPr>
        <w:pStyle w:val="Tre9ce6tekstu"/>
        <w:jc w:val="both"/>
        <w:rPr>
          <w:rFonts w:cstheme="minorBidi"/>
        </w:rPr>
      </w:pPr>
      <w:r>
        <w:rPr>
          <w:rFonts w:ascii="Times New Roman" w:hAnsi="Times New Roman" w:cs="Times New Roman"/>
          <w:sz w:val="28"/>
          <w:szCs w:val="28"/>
        </w:rPr>
        <w:t>W przypadku, gdy służba nie była pełniona rzetelnie i krótkotrwale to i tak organ powinien zbadać czy nie zachodzi szczególnie uzasadniony przypadek ze względu na charakter wykonywanych zadań.</w:t>
      </w:r>
    </w:p>
    <w:p w:rsidR="00F54C3E" w:rsidRDefault="00F54C3E" w:rsidP="00F54C3E">
      <w:pPr>
        <w:pStyle w:val="Tre9ce6tekstu"/>
        <w:jc w:val="both"/>
        <w:rPr>
          <w:rFonts w:cstheme="minorBidi"/>
        </w:rPr>
      </w:pPr>
      <w:r>
        <w:rPr>
          <w:rFonts w:ascii="Times New Roman" w:hAnsi="Times New Roman" w:cs="Times New Roman"/>
          <w:sz w:val="28"/>
          <w:szCs w:val="28"/>
          <w:u w:val="single"/>
        </w:rPr>
        <w:t>Krótkotrwała służba</w:t>
      </w:r>
    </w:p>
    <w:p w:rsidR="00F54C3E" w:rsidRDefault="00F54C3E" w:rsidP="00F54C3E">
      <w:pPr>
        <w:pStyle w:val="Tre9ce6tekstu"/>
        <w:jc w:val="both"/>
        <w:rPr>
          <w:rFonts w:cstheme="minorBidi"/>
        </w:rPr>
      </w:pPr>
      <w:r>
        <w:rPr>
          <w:rFonts w:ascii="Times New Roman" w:hAnsi="Times New Roman" w:cs="Times New Roman"/>
          <w:sz w:val="28"/>
          <w:szCs w:val="28"/>
        </w:rPr>
        <w:t xml:space="preserve">Sąd stwierdził, że należy krótkotrwałość odnosić do całego okresu służby. Krótkotrwałą służbą jest niewątpliwie okres 5,5 miesiąca do ok.  20 lat ogółem </w:t>
      </w:r>
      <w:proofErr w:type="spellStart"/>
      <w:r>
        <w:rPr>
          <w:rFonts w:ascii="Times New Roman" w:hAnsi="Times New Roman" w:cs="Times New Roman"/>
          <w:sz w:val="28"/>
          <w:szCs w:val="28"/>
        </w:rPr>
        <w:t>ogółem</w:t>
      </w:r>
      <w:proofErr w:type="spellEnd"/>
      <w:r>
        <w:rPr>
          <w:rFonts w:ascii="Times New Roman" w:hAnsi="Times New Roman" w:cs="Times New Roman"/>
          <w:sz w:val="28"/>
          <w:szCs w:val="28"/>
        </w:rPr>
        <w:t xml:space="preserve"> (sąd nie określił górnej granicy krótkotrwałości przytaczając głosy w dyskusji podczas prac nad ustawą, wg których może to być nawet 20%), </w:t>
      </w:r>
    </w:p>
    <w:p w:rsidR="00F54C3E" w:rsidRDefault="00F54C3E" w:rsidP="00F54C3E">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F54C3E" w:rsidRDefault="00F54C3E" w:rsidP="00F54C3E">
      <w:pPr>
        <w:pStyle w:val="Tre9ce6tekstu"/>
        <w:jc w:val="both"/>
        <w:rPr>
          <w:rFonts w:cstheme="minorBidi"/>
        </w:rPr>
      </w:pPr>
      <w:r>
        <w:rPr>
          <w:rFonts w:ascii="Times New Roman" w:hAnsi="Times New Roman" w:cs="Times New Roman"/>
          <w:sz w:val="28"/>
          <w:szCs w:val="28"/>
        </w:rPr>
        <w:t xml:space="preserve">Działać "rzetelnie" to działać dokładnie, należycie, uczciwie  czyli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F54C3E" w:rsidRDefault="00F54C3E" w:rsidP="00F54C3E">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F54C3E" w:rsidRDefault="00F54C3E" w:rsidP="00F54C3E">
      <w:pPr>
        <w:pStyle w:val="Tre9ce6tekstu"/>
        <w:jc w:val="both"/>
        <w:rPr>
          <w:rFonts w:cstheme="minorBidi"/>
        </w:rPr>
      </w:pPr>
      <w:r>
        <w:rPr>
          <w:rFonts w:ascii="Times New Roman" w:hAnsi="Times New Roman" w:cs="Times New Roman"/>
          <w:sz w:val="28"/>
          <w:szCs w:val="28"/>
        </w:rPr>
        <w:t xml:space="preserve">Dla oceny rzetelności tego rodzaju działań nie jest również konieczne wykazywanie działania z narażeniem zdrowia i życia, chociaż niewątpliwie również takie działania mogą przemawiać za rzetelnością wykonywania zadań i obowiązków. </w:t>
      </w:r>
    </w:p>
    <w:p w:rsidR="00F54C3E" w:rsidRDefault="00F54C3E" w:rsidP="00F54C3E">
      <w:pPr>
        <w:pStyle w:val="Tre9ce6tekstu"/>
        <w:jc w:val="both"/>
        <w:rPr>
          <w:rFonts w:cstheme="minorBidi"/>
        </w:rPr>
      </w:pPr>
    </w:p>
    <w:p w:rsidR="00F54C3E" w:rsidRDefault="00F54C3E" w:rsidP="00F54C3E">
      <w:pPr>
        <w:pStyle w:val="Tre9ce6tekstu"/>
        <w:spacing w:after="0"/>
        <w:jc w:val="both"/>
        <w:rPr>
          <w:rFonts w:cstheme="minorBidi"/>
        </w:rPr>
      </w:pPr>
      <w:r>
        <w:rPr>
          <w:rFonts w:ascii="Times New Roman" w:hAnsi="Times New Roman" w:cs="Times New Roman"/>
          <w:b/>
          <w:bCs/>
          <w:sz w:val="28"/>
          <w:szCs w:val="28"/>
        </w:rPr>
        <w:t>Podsumowanie</w:t>
      </w:r>
    </w:p>
    <w:p w:rsidR="00F54C3E" w:rsidRDefault="00F54C3E" w:rsidP="00F54C3E">
      <w:pPr>
        <w:pStyle w:val="Tre9ce6tekstu"/>
        <w:spacing w:after="0"/>
        <w:jc w:val="both"/>
        <w:rPr>
          <w:rFonts w:cstheme="minorBidi"/>
        </w:rPr>
      </w:pPr>
      <w:r>
        <w:rPr>
          <w:rFonts w:ascii="Times New Roman" w:hAnsi="Times New Roman" w:cs="Times New Roman"/>
          <w:sz w:val="28"/>
          <w:szCs w:val="28"/>
        </w:rPr>
        <w:t>Minister Spraw Wewnętrznych i Administracji musi wydać nową decyzję  uwzględniając przebieg służby, kierując się w/w wskazaniami  WSA i NSA, tj. że służba pełniona była krótkotrwale i rzetelnie.</w:t>
      </w:r>
    </w:p>
    <w:p w:rsidR="00F54C3E" w:rsidRDefault="00F54C3E" w:rsidP="00F54C3E">
      <w:pPr>
        <w:pStyle w:val="Tre9ce6tekstu"/>
        <w:spacing w:after="0"/>
        <w:jc w:val="both"/>
        <w:rPr>
          <w:rFonts w:cstheme="minorBidi"/>
        </w:rPr>
      </w:pPr>
      <w:r>
        <w:rPr>
          <w:rFonts w:ascii="Times New Roman" w:hAnsi="Times New Roman" w:cs="Times New Roman"/>
          <w:sz w:val="28"/>
          <w:szCs w:val="28"/>
        </w:rPr>
        <w:t>Ponadto należy ustalić wszystkie okoliczności sprawy, w tym faktyczny okres pełnienia służby przez L. S. i zakres faktycznie wykonywanych zadań.</w:t>
      </w:r>
    </w:p>
    <w:p w:rsidR="00F54C3E" w:rsidRDefault="00F54C3E" w:rsidP="00F54C3E">
      <w:pPr>
        <w:pStyle w:val="Tre9ce6tekstu"/>
        <w:spacing w:after="0"/>
        <w:jc w:val="both"/>
        <w:rPr>
          <w:rFonts w:cstheme="minorBidi"/>
        </w:rPr>
      </w:pPr>
    </w:p>
    <w:p w:rsidR="00F54C3E" w:rsidRDefault="00F54C3E" w:rsidP="00F54C3E">
      <w:pPr>
        <w:pStyle w:val="Tre9ce6tekstu"/>
        <w:spacing w:after="0"/>
        <w:jc w:val="both"/>
        <w:rPr>
          <w:rFonts w:cstheme="minorBidi"/>
        </w:rPr>
      </w:pPr>
    </w:p>
    <w:p w:rsidR="00F54C3E" w:rsidRDefault="00F54C3E" w:rsidP="00F54C3E">
      <w:pPr>
        <w:pStyle w:val="Tre9ce6tekstu"/>
        <w:spacing w:after="0"/>
        <w:jc w:val="both"/>
        <w:rPr>
          <w:rFonts w:cstheme="minorBidi"/>
        </w:rPr>
      </w:pPr>
    </w:p>
    <w:p w:rsidR="00F54C3E" w:rsidRDefault="00F54C3E" w:rsidP="00F54C3E">
      <w:pPr>
        <w:pStyle w:val="Tre9ce6tekstu"/>
        <w:jc w:val="both"/>
        <w:rPr>
          <w:rFonts w:cstheme="minorBidi"/>
        </w:rPr>
      </w:pPr>
    </w:p>
    <w:p w:rsidR="0082070A" w:rsidRDefault="0082070A"/>
    <w:sectPr w:rsidR="0082070A" w:rsidSect="00820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Helvetica">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54C3E"/>
    <w:rsid w:val="0082070A"/>
    <w:rsid w:val="00F54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C3E"/>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F54C3E"/>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F54C3E"/>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3603</Characters>
  <Application>Microsoft Office Word</Application>
  <DocSecurity>0</DocSecurity>
  <Lines>30</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2020-05-02T12:14:00Z</dcterms:created>
  <dcterms:modified xsi:type="dcterms:W3CDTF">2020-05-02T12:14:00Z</dcterms:modified>
</cp:coreProperties>
</file>