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2" w:rsidRDefault="007073E1" w:rsidP="001524C2">
      <w:pPr>
        <w:pStyle w:val="Nagwek1"/>
        <w:spacing w:before="0" w:beforeAutospacing="0" w:after="0" w:afterAutospacing="0"/>
        <w:jc w:val="both"/>
        <w:rPr>
          <w:sz w:val="24"/>
          <w:szCs w:val="24"/>
        </w:rPr>
      </w:pPr>
      <w:r w:rsidRPr="007073E1">
        <w:rPr>
          <w:sz w:val="24"/>
          <w:szCs w:val="24"/>
        </w:rPr>
        <w:t>5. Ustawa z dnia 16 grudnia 2016 roku wprowad</w:t>
      </w:r>
      <w:r w:rsidR="001524C2">
        <w:rPr>
          <w:sz w:val="24"/>
          <w:szCs w:val="24"/>
        </w:rPr>
        <w:t xml:space="preserve">za niezwykle zawiłe, niejasne i </w:t>
      </w:r>
      <w:r w:rsidRPr="007073E1">
        <w:rPr>
          <w:sz w:val="24"/>
          <w:szCs w:val="24"/>
        </w:rPr>
        <w:t>wewnętrznie sprzeczne, represyjne rozwiązania prawne.</w:t>
      </w:r>
      <w:r w:rsidR="001524C2">
        <w:rPr>
          <w:sz w:val="24"/>
          <w:szCs w:val="24"/>
        </w:rPr>
        <w:t xml:space="preserve"> </w:t>
      </w:r>
      <w:r w:rsidR="00777B3A" w:rsidRPr="007073E1">
        <w:rPr>
          <w:sz w:val="24"/>
          <w:szCs w:val="24"/>
        </w:rPr>
        <w:t>Trybunał Konstytucyjny nie wyręczy sądów</w:t>
      </w:r>
    </w:p>
    <w:p w:rsidR="003B1DBC" w:rsidRPr="001524C2" w:rsidRDefault="00777B3A" w:rsidP="001524C2">
      <w:pPr>
        <w:pStyle w:val="Nagwek1"/>
        <w:spacing w:before="0" w:beforeAutospacing="0" w:after="0" w:afterAutospacing="0"/>
        <w:jc w:val="both"/>
        <w:rPr>
          <w:sz w:val="24"/>
          <w:szCs w:val="24"/>
        </w:rPr>
      </w:pPr>
      <w:r w:rsidRPr="007073E1">
        <w:rPr>
          <w:b w:val="0"/>
          <w:sz w:val="24"/>
          <w:szCs w:val="24"/>
        </w:rPr>
        <w:t>Prawdopodobnie17 marca Trybunał Konstytucyjny odpowie na pytanie prawne Sądu Okręgowego w Warszawie dotyczące zgodności z Konstytucją RP odpowiednich przepisów ustawy z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przez art. 1 ustawy zmieniającej z dnia 16 grudnia 2016 r.</w:t>
      </w:r>
      <w:r w:rsidR="00B20941" w:rsidRPr="007073E1">
        <w:rPr>
          <w:b w:val="0"/>
          <w:sz w:val="24"/>
          <w:szCs w:val="24"/>
        </w:rPr>
        <w:t xml:space="preserve"> Trudno przewidzieć, jakie to będzie rozstrzygnięcie. Trzeba przecież pamiętać, że np. sędzia TK Krystyna Pawłowicz głosowała za projektem stanowiska Sejmu, w którym uznano obniżenie emerytur za służbę po 1990 r. </w:t>
      </w:r>
      <w:r w:rsidR="00124EC8" w:rsidRPr="007073E1">
        <w:rPr>
          <w:b w:val="0"/>
          <w:sz w:val="24"/>
          <w:szCs w:val="24"/>
        </w:rPr>
        <w:t>za nie</w:t>
      </w:r>
      <w:r w:rsidR="006A21EC" w:rsidRPr="007073E1">
        <w:rPr>
          <w:b w:val="0"/>
          <w:sz w:val="24"/>
          <w:szCs w:val="24"/>
        </w:rPr>
        <w:t xml:space="preserve">konstytucyjne. </w:t>
      </w:r>
      <w:r w:rsidR="00D67D8A" w:rsidRPr="007073E1">
        <w:rPr>
          <w:b w:val="0"/>
          <w:sz w:val="24"/>
          <w:szCs w:val="24"/>
        </w:rPr>
        <w:t xml:space="preserve">Oczywiście stanowisko to zostało zmienione przez Marszałka </w:t>
      </w:r>
      <w:r w:rsidR="009A4EDF" w:rsidRPr="007073E1">
        <w:rPr>
          <w:b w:val="0"/>
          <w:sz w:val="24"/>
          <w:szCs w:val="24"/>
        </w:rPr>
        <w:t>Sejmu w dość dziwnych okolicznościach.</w:t>
      </w:r>
      <w:r w:rsidR="00DB7A02" w:rsidRPr="007073E1">
        <w:rPr>
          <w:b w:val="0"/>
          <w:sz w:val="24"/>
          <w:szCs w:val="24"/>
        </w:rPr>
        <w:t xml:space="preserve"> Myli się jednak ten, kto uważa, iż po orzeczeniu TK zaczną zapadać w tempie ekspresowym prawomocne wyroki w tych sprawach. Niezależnie od tego co zrobi Trybunał Konstytucyjny, rozstrzygnięcie konkretnej sprawy należeć będzie do sądu.</w:t>
      </w:r>
      <w:r w:rsidR="00FD56CB" w:rsidRPr="007073E1">
        <w:rPr>
          <w:b w:val="0"/>
          <w:sz w:val="24"/>
          <w:szCs w:val="24"/>
        </w:rPr>
        <w:t xml:space="preserve"> Przy czym niezależnie od tego, jakie będzie stanowisko TK w punkcie a</w:t>
      </w:r>
      <w:r w:rsidR="004B121F" w:rsidRPr="007073E1">
        <w:rPr>
          <w:b w:val="0"/>
          <w:sz w:val="24"/>
          <w:szCs w:val="24"/>
        </w:rPr>
        <w:t>)</w:t>
      </w:r>
      <w:r w:rsidR="00FD56CB" w:rsidRPr="007073E1">
        <w:rPr>
          <w:b w:val="0"/>
          <w:sz w:val="24"/>
          <w:szCs w:val="24"/>
        </w:rPr>
        <w:t xml:space="preserve"> pytania prawnego, to i tak dla wielu odwołujących się nie będzie to miało żadnego znaczenia. Trudno sobie wyobrazić, aby TK uznał, iż cała ustawa została wadliwie uchwalona.</w:t>
      </w:r>
    </w:p>
    <w:p w:rsidR="00923346" w:rsidRPr="007073E1" w:rsidRDefault="003B1DBC" w:rsidP="001524C2">
      <w:pPr>
        <w:pStyle w:val="Nagwek1"/>
        <w:spacing w:before="0" w:beforeAutospacing="0" w:after="0" w:afterAutospacing="0"/>
        <w:jc w:val="both"/>
        <w:rPr>
          <w:b w:val="0"/>
          <w:sz w:val="24"/>
          <w:szCs w:val="24"/>
        </w:rPr>
      </w:pPr>
      <w:r w:rsidRPr="007073E1">
        <w:rPr>
          <w:b w:val="0"/>
          <w:sz w:val="24"/>
          <w:szCs w:val="24"/>
        </w:rPr>
        <w:t>W tym miejscu pragnę zwrócić uwagę na artykuł sędziego Mariusza Muszyńskiego opublikowany w dzisiejszej Rzeczpospolitej pt. „Niektórym prawnikom brakuje wiedzy”.</w:t>
      </w:r>
      <w:r w:rsidR="00F44AD2" w:rsidRPr="007073E1">
        <w:rPr>
          <w:b w:val="0"/>
          <w:sz w:val="24"/>
          <w:szCs w:val="24"/>
        </w:rPr>
        <w:t xml:space="preserve"> Pragnę zwrócić uwagę na trzy fragmenty tej publikacji w </w:t>
      </w:r>
      <w:r w:rsidR="00505EBB" w:rsidRPr="007073E1">
        <w:rPr>
          <w:b w:val="0"/>
          <w:sz w:val="24"/>
          <w:szCs w:val="24"/>
        </w:rPr>
        <w:t>mojej ocenie najbardziej ważkie. O</w:t>
      </w:r>
      <w:r w:rsidR="00F44AD2" w:rsidRPr="007073E1">
        <w:rPr>
          <w:b w:val="0"/>
          <w:sz w:val="24"/>
          <w:szCs w:val="24"/>
        </w:rPr>
        <w:t>tóż pan sędzia stwierdził, że: „</w:t>
      </w:r>
      <w:r w:rsidR="00D542E4" w:rsidRPr="007073E1">
        <w:rPr>
          <w:b w:val="0"/>
          <w:sz w:val="24"/>
          <w:szCs w:val="24"/>
        </w:rPr>
        <w:t>Zgodnie z art. 10 ust. 2 Konstytucji RP Trybunał Konstytucyjny jest wprawdzie organem władzy sądowniczej. Jednak w</w:t>
      </w:r>
      <w:r w:rsidR="004B121F" w:rsidRPr="007073E1">
        <w:rPr>
          <w:b w:val="0"/>
          <w:sz w:val="24"/>
          <w:szCs w:val="24"/>
        </w:rPr>
        <w:t> </w:t>
      </w:r>
      <w:r w:rsidR="00D542E4" w:rsidRPr="007073E1">
        <w:rPr>
          <w:b w:val="0"/>
          <w:sz w:val="24"/>
          <w:szCs w:val="24"/>
        </w:rPr>
        <w:t xml:space="preserve">przeciwieństwie do sądów Trybunał nie sprawuje wymiaru sprawiedliwości, a więc nie rozstrzyga spraw (sporów) cywilnych i karnych podmiotów indywidualnych. Nie rozstrzyga także spraw administracyjnych. </w:t>
      </w:r>
      <w:r w:rsidR="00D542E4" w:rsidRPr="007073E1">
        <w:rPr>
          <w:sz w:val="24"/>
          <w:szCs w:val="24"/>
        </w:rPr>
        <w:t>Art. 175 ust. 1 Konstytucji RP stanowi bowiem, że „Wymiar sprawiedliwości w Rzeczypospolitej Polskiej sprawują Sąd Najwyższy, sądy powszechne, sądy administracyjne oraz sądy wojskowe".</w:t>
      </w:r>
      <w:r w:rsidR="00D542E4" w:rsidRPr="007073E1">
        <w:rPr>
          <w:b w:val="0"/>
          <w:sz w:val="24"/>
          <w:szCs w:val="24"/>
        </w:rPr>
        <w:t xml:space="preserve"> W</w:t>
      </w:r>
      <w:r w:rsidR="004B121F" w:rsidRPr="007073E1">
        <w:rPr>
          <w:b w:val="0"/>
          <w:sz w:val="24"/>
          <w:szCs w:val="24"/>
        </w:rPr>
        <w:t> </w:t>
      </w:r>
      <w:r w:rsidR="00D542E4" w:rsidRPr="007073E1">
        <w:rPr>
          <w:b w:val="0"/>
          <w:sz w:val="24"/>
          <w:szCs w:val="24"/>
        </w:rPr>
        <w:t>powyższym wyliczeniu TK nie ma.</w:t>
      </w:r>
      <w:r w:rsidR="004B121F" w:rsidRPr="007073E1">
        <w:rPr>
          <w:b w:val="0"/>
          <w:sz w:val="24"/>
          <w:szCs w:val="24"/>
        </w:rPr>
        <w:t xml:space="preserve"> (…) </w:t>
      </w:r>
      <w:r w:rsidR="00D542E4" w:rsidRPr="007073E1">
        <w:rPr>
          <w:b w:val="0"/>
          <w:sz w:val="24"/>
          <w:szCs w:val="24"/>
        </w:rPr>
        <w:t>Dodatkowym argumentem, który nie pozwala uznać TK za s</w:t>
      </w:r>
      <w:r w:rsidR="004B121F" w:rsidRPr="007073E1">
        <w:rPr>
          <w:b w:val="0"/>
          <w:sz w:val="24"/>
          <w:szCs w:val="24"/>
        </w:rPr>
        <w:t>ąd w rozumieniu art. 45 ust. 1 K</w:t>
      </w:r>
      <w:r w:rsidR="00D542E4" w:rsidRPr="007073E1">
        <w:rPr>
          <w:b w:val="0"/>
          <w:sz w:val="24"/>
          <w:szCs w:val="24"/>
        </w:rPr>
        <w:t>onstytucji, są jego kompetencje. Nie będę ich wymieniał, bo zakładam, że chociaż to, RPO czy inni krytycy TK, umieją zdekodować. Przypomnę tylko, że wszystkie świadczą, iż TK jest organem rozpoznającym sprawy dotyczące hierarchicznej zgodności prawa i określone sprawy o charakterze ustrojowym. Nie można go uznać za sąd rozstrzygający spory indywidualnych podmiotów, ani traktować jako organu kolejnej lub najwyższej instancji, co ma miejsce np. w przypadku TK w Niemczech czy w Hiszpanii.</w:t>
      </w:r>
      <w:r w:rsidR="004B121F" w:rsidRPr="007073E1">
        <w:rPr>
          <w:b w:val="0"/>
          <w:sz w:val="24"/>
          <w:szCs w:val="24"/>
        </w:rPr>
        <w:t xml:space="preserve"> (…) </w:t>
      </w:r>
      <w:r w:rsidR="00923346" w:rsidRPr="007073E1">
        <w:rPr>
          <w:b w:val="0"/>
          <w:sz w:val="24"/>
          <w:szCs w:val="24"/>
        </w:rPr>
        <w:t xml:space="preserve">TK w trybie zainicjowanym skargą konstytucyjną może jedynie ocenić normy prawne (akty normatywne), na podstawie których zapadło ostateczne rozstrzygnięcie w sprawie skarżącego. </w:t>
      </w:r>
      <w:r w:rsidR="00923346" w:rsidRPr="007073E1">
        <w:rPr>
          <w:sz w:val="24"/>
          <w:szCs w:val="24"/>
        </w:rPr>
        <w:t>Wyrok o niekonstytucyjności nie doprowadzi automatycznie do wzruszenia danego rozstrzygnięcia.</w:t>
      </w:r>
      <w:r w:rsidR="00923346" w:rsidRPr="007073E1">
        <w:rPr>
          <w:b w:val="0"/>
          <w:sz w:val="24"/>
          <w:szCs w:val="24"/>
        </w:rPr>
        <w:t xml:space="preserve"> Dopóki zainteresowany podmiot nie podejmie – na podstawie art. 190 ust. 4 konstytucji i rozwijających ten przepis norm ustawowych – działań wznawiających postępowanie lub uchylających wydaną wobec niego decyzję, ostateczne rozstrzygnięcie jest ciągle ważne, nawet jeśli norma ustawowa, na podstawie której je wydano, uznana została za niekonstytucyjną.</w:t>
      </w:r>
      <w:r w:rsidR="004B121F" w:rsidRPr="007073E1">
        <w:rPr>
          <w:b w:val="0"/>
          <w:sz w:val="24"/>
          <w:szCs w:val="24"/>
        </w:rPr>
        <w:t>”</w:t>
      </w:r>
    </w:p>
    <w:p w:rsidR="00635D85" w:rsidRPr="007073E1" w:rsidRDefault="008F7B5E" w:rsidP="001524C2">
      <w:pPr>
        <w:pStyle w:val="Nagwek1"/>
        <w:spacing w:before="0" w:beforeAutospacing="0" w:after="0" w:afterAutospacing="0"/>
        <w:jc w:val="both"/>
        <w:rPr>
          <w:b w:val="0"/>
          <w:sz w:val="24"/>
          <w:szCs w:val="24"/>
        </w:rPr>
      </w:pPr>
      <w:r w:rsidRPr="007073E1">
        <w:rPr>
          <w:b w:val="0"/>
          <w:sz w:val="24"/>
          <w:szCs w:val="24"/>
        </w:rPr>
        <w:t xml:space="preserve">Jeżeli zgodzimy się z poglądem zaprezentowanym przez sędziego Muszyńskiego, a jak się wydaje jest ku temu wiele powodów, to możemy dojść do ciekawych wniosków. Pierwszy wniosek jest dość smutny i nie najlepiej świadczy o aktywności, a raczej braku aktywności, Sądu Okręgowego w Warszawie, który dość biernie oczekuje na orzeczenie TK. </w:t>
      </w:r>
      <w:r w:rsidR="002C2C34" w:rsidRPr="007073E1">
        <w:rPr>
          <w:b w:val="0"/>
          <w:sz w:val="24"/>
          <w:szCs w:val="24"/>
        </w:rPr>
        <w:t xml:space="preserve">Otóż, Trybunał Konstytucyjny w uzasadnieniu wyroku z dnia 11 stycznia 2012 roku (K 36/09, </w:t>
      </w:r>
      <w:r w:rsidR="002C2C34" w:rsidRPr="007073E1">
        <w:rPr>
          <w:b w:val="0"/>
          <w:sz w:val="24"/>
          <w:szCs w:val="24"/>
        </w:rPr>
        <w:lastRenderedPageBreak/>
        <w:t>OTK-A 2012/1/3) stwierdził, że informacja o przebiegu służby byłego funkcjonariusza organów bezpieczeństwa PRL, mimo braku możliwości bezpośredniego zakwestionowania jej treści w postępowaniu przed IPN przez funkcjonariusza, którego informacja dotyczy, podlega nie tylko weryfikacji w postępowaniu przed właściwym organem emerytalnym, ale przede wszystkim podlega wszechstronnej kontroli sądowej w postępowaniu wyjaśniającym. W razie bowiem zaskarżenia decyzji organu emerytalnego o ostatecznym ukształtowaniu praw emerytalnych funkcjonariusza rozstrzyga co do istoty sąd powszechny, który nie jest prawnie związany treścią tej informacji. Stanowisko to zachowuje aktualność również wobec informacji IPN o służbie na rzecz totalitarnego państwa, co potwierdził m.in. Naczelny Sąd Administracyjny</w:t>
      </w:r>
      <w:r w:rsidR="00C2764B" w:rsidRPr="007073E1">
        <w:rPr>
          <w:rStyle w:val="info-list-value-uzasadnienie"/>
          <w:b w:val="0"/>
          <w:sz w:val="24"/>
          <w:szCs w:val="24"/>
        </w:rPr>
        <w:t>(por. prawomocne wyroki WSA w Warszawie: z dnia 5 grudnia 2018 r. o sygn. akt II SA/</w:t>
      </w:r>
      <w:proofErr w:type="spellStart"/>
      <w:r w:rsidR="00C2764B" w:rsidRPr="007073E1">
        <w:rPr>
          <w:rStyle w:val="info-list-value-uzasadnienie"/>
          <w:b w:val="0"/>
          <w:sz w:val="24"/>
          <w:szCs w:val="24"/>
        </w:rPr>
        <w:t>Wa</w:t>
      </w:r>
      <w:proofErr w:type="spellEnd"/>
      <w:r w:rsidR="00C2764B" w:rsidRPr="007073E1">
        <w:rPr>
          <w:rStyle w:val="info-list-value-uzasadnienie"/>
          <w:b w:val="0"/>
          <w:sz w:val="24"/>
          <w:szCs w:val="24"/>
        </w:rPr>
        <w:t xml:space="preserve"> 220/18; z dnia 10 kwietnia 2019 r. o sygn. akt II SA/</w:t>
      </w:r>
      <w:proofErr w:type="spellStart"/>
      <w:r w:rsidR="00C2764B" w:rsidRPr="007073E1">
        <w:rPr>
          <w:rStyle w:val="info-list-value-uzasadnienie"/>
          <w:b w:val="0"/>
          <w:sz w:val="24"/>
          <w:szCs w:val="24"/>
        </w:rPr>
        <w:t>Wa</w:t>
      </w:r>
      <w:proofErr w:type="spellEnd"/>
      <w:r w:rsidR="00C2764B" w:rsidRPr="007073E1">
        <w:rPr>
          <w:rStyle w:val="info-list-value-uzasadnienie"/>
          <w:b w:val="0"/>
          <w:sz w:val="24"/>
          <w:szCs w:val="24"/>
        </w:rPr>
        <w:t xml:space="preserve"> 2344/18).</w:t>
      </w:r>
      <w:r w:rsidR="00501FFB" w:rsidRPr="007073E1">
        <w:rPr>
          <w:rStyle w:val="info-list-value-uzasadnienie"/>
          <w:b w:val="0"/>
          <w:sz w:val="24"/>
          <w:szCs w:val="24"/>
        </w:rPr>
        <w:t xml:space="preserve"> Jednak, pomimo kwestionowania przez część odwołujących się informacji IPN</w:t>
      </w:r>
      <w:r w:rsidR="00501FFB" w:rsidRPr="007073E1">
        <w:rPr>
          <w:b w:val="0"/>
          <w:sz w:val="24"/>
          <w:szCs w:val="24"/>
        </w:rPr>
        <w:t>, przez ponad dwa i pół roku Sąd Okręgowy w Warszawie</w:t>
      </w:r>
      <w:r w:rsidR="00AE514E" w:rsidRPr="007073E1">
        <w:rPr>
          <w:b w:val="0"/>
          <w:sz w:val="24"/>
          <w:szCs w:val="24"/>
        </w:rPr>
        <w:t xml:space="preserve"> </w:t>
      </w:r>
      <w:r w:rsidR="00501FFB" w:rsidRPr="007073E1">
        <w:rPr>
          <w:b w:val="0"/>
          <w:sz w:val="24"/>
          <w:szCs w:val="24"/>
        </w:rPr>
        <w:t>praktycznie nie podejmował w tym zakresie żadnej aktywności, a to jest rzeczywiście kwestia prejudycjalna w każdej</w:t>
      </w:r>
      <w:r w:rsidR="00635D85" w:rsidRPr="007073E1">
        <w:rPr>
          <w:b w:val="0"/>
          <w:sz w:val="24"/>
          <w:szCs w:val="24"/>
        </w:rPr>
        <w:t xml:space="preserve"> z takich spraw</w:t>
      </w:r>
      <w:r w:rsidR="00501FFB" w:rsidRPr="007073E1">
        <w:rPr>
          <w:b w:val="0"/>
          <w:sz w:val="24"/>
          <w:szCs w:val="24"/>
        </w:rPr>
        <w:t>.</w:t>
      </w:r>
    </w:p>
    <w:p w:rsidR="00C945D2" w:rsidRPr="007073E1" w:rsidRDefault="00635D85" w:rsidP="001524C2">
      <w:pPr>
        <w:spacing w:after="0" w:line="240" w:lineRule="auto"/>
        <w:jc w:val="both"/>
        <w:rPr>
          <w:rFonts w:ascii="Times New Roman" w:hAnsi="Times New Roman" w:cs="Times New Roman"/>
          <w:sz w:val="24"/>
          <w:szCs w:val="24"/>
        </w:rPr>
      </w:pPr>
      <w:r w:rsidRPr="007073E1">
        <w:rPr>
          <w:rFonts w:ascii="Times New Roman" w:hAnsi="Times New Roman" w:cs="Times New Roman"/>
          <w:sz w:val="24"/>
          <w:szCs w:val="24"/>
        </w:rPr>
        <w:t xml:space="preserve">Naczelny Sąd Administracyjny w wyroku z dnia 12 grudnia 2019 r. sygn. akt </w:t>
      </w:r>
      <w:r w:rsidRPr="007073E1">
        <w:rPr>
          <w:rStyle w:val="warheader"/>
          <w:rFonts w:ascii="Times New Roman" w:hAnsi="Times New Roman" w:cs="Times New Roman"/>
          <w:sz w:val="24"/>
          <w:szCs w:val="24"/>
        </w:rPr>
        <w:t xml:space="preserve">I OSK 1631/19 </w:t>
      </w:r>
      <w:r w:rsidRPr="007073E1">
        <w:rPr>
          <w:rFonts w:ascii="Times New Roman" w:hAnsi="Times New Roman" w:cs="Times New Roman"/>
          <w:sz w:val="24"/>
          <w:szCs w:val="24"/>
        </w:rPr>
        <w:t xml:space="preserve"> stwierdził m.in.: „</w:t>
      </w:r>
      <w:r w:rsidRPr="007073E1">
        <w:rPr>
          <w:rStyle w:val="info-list-value-uzasadnienie"/>
          <w:rFonts w:ascii="Times New Roman" w:hAnsi="Times New Roman" w:cs="Times New Roman"/>
          <w:sz w:val="24"/>
          <w:szCs w:val="24"/>
        </w:rPr>
        <w:t>Nie jest zatem wystarczające dla stosowania restrykcyjnych unormowań ustawy zaopatrzeniowej - co mogłaby sugerować bezrefleksyjna, wyłącznie językowa wykładnia art. 13b w związku z art. 13c ustawy zaopatrzeniowej nie uwzględniająca pozostałych jej unormowań – poprzestanie wyłącznie na ustaleniu "okresów służby na rzecz totalitarnego państwa", lecz konieczne staje się również odkodowanie pełnej treści pojęcia "służby na rzecz totalitarnego państwa" znajdującej oparcie w przepisach tej ustawy odczytywanych w</w:t>
      </w:r>
      <w:r w:rsidR="00C945D2" w:rsidRPr="007073E1">
        <w:rPr>
          <w:rStyle w:val="info-list-value-uzasadnienie"/>
          <w:rFonts w:ascii="Times New Roman" w:hAnsi="Times New Roman" w:cs="Times New Roman"/>
          <w:sz w:val="24"/>
          <w:szCs w:val="24"/>
        </w:rPr>
        <w:t> </w:t>
      </w:r>
      <w:r w:rsidRPr="007073E1">
        <w:rPr>
          <w:rStyle w:val="info-list-value-uzasadnienie"/>
          <w:rFonts w:ascii="Times New Roman" w:hAnsi="Times New Roman" w:cs="Times New Roman"/>
          <w:sz w:val="24"/>
          <w:szCs w:val="24"/>
        </w:rPr>
        <w:t>zgodzie z konstytucyjnymi zasadami wyznaczającymi standardy demokratycznego państwa prawnego.”Jeżeli takie rozumowanie przyjmiemy za punkt wyjścia dla odkodowania pojęcia „służba na rzecz totalitarnego</w:t>
      </w:r>
      <w:r w:rsidR="00C945D2" w:rsidRPr="007073E1">
        <w:rPr>
          <w:rStyle w:val="info-list-value-uzasadnienie"/>
          <w:rFonts w:ascii="Times New Roman" w:hAnsi="Times New Roman" w:cs="Times New Roman"/>
          <w:sz w:val="24"/>
          <w:szCs w:val="24"/>
        </w:rPr>
        <w:t xml:space="preserve"> państwa”, to należy choćby zważyć, że w </w:t>
      </w:r>
      <w:r w:rsidRPr="007073E1">
        <w:rPr>
          <w:rStyle w:val="info-list-value-uzasadnienie"/>
          <w:rFonts w:ascii="Times New Roman" w:hAnsi="Times New Roman" w:cs="Times New Roman"/>
          <w:b/>
          <w:sz w:val="24"/>
          <w:szCs w:val="24"/>
        </w:rPr>
        <w:t>art. 13 ust. 1</w:t>
      </w:r>
      <w:r w:rsidR="00C945D2" w:rsidRPr="007073E1">
        <w:rPr>
          <w:rStyle w:val="info-list-value-uzasadnienie"/>
          <w:rFonts w:ascii="Times New Roman" w:hAnsi="Times New Roman" w:cs="Times New Roman"/>
          <w:sz w:val="24"/>
          <w:szCs w:val="24"/>
        </w:rPr>
        <w:t xml:space="preserve"> ustawy zaopatrzeniowej</w:t>
      </w:r>
      <w:r w:rsidRPr="007073E1">
        <w:rPr>
          <w:rStyle w:val="info-list-value-uzasadnienie"/>
          <w:rFonts w:ascii="Times New Roman" w:hAnsi="Times New Roman" w:cs="Times New Roman"/>
          <w:sz w:val="24"/>
          <w:szCs w:val="24"/>
        </w:rPr>
        <w:t xml:space="preserve"> wymieniono okresy równorzędne ze służbą </w:t>
      </w:r>
      <w:r w:rsidRPr="007073E1">
        <w:rPr>
          <w:rFonts w:ascii="Times New Roman" w:hAnsi="Times New Roman" w:cs="Times New Roman"/>
          <w:sz w:val="24"/>
          <w:szCs w:val="24"/>
        </w:rPr>
        <w:t xml:space="preserve">w Policji, Agencji Bezpieczeństwa Wewnętrznego, Agencji Wywiadu, Służbie Kontrwywiadu Wojskowego, Służbie Wywiadu Wojskowego, Centralnym Biurze Antykorupcyjnym, Straży Granicznej, Służbie Ochrony Państwa, Państwowej Straży Pożarnej, Służbie Celnej, Służbie Celno-Skarbowej i w Służbie Więziennej. </w:t>
      </w:r>
    </w:p>
    <w:p w:rsidR="00635D85" w:rsidRPr="007073E1" w:rsidRDefault="00635D85" w:rsidP="001524C2">
      <w:pPr>
        <w:spacing w:after="0" w:line="240" w:lineRule="auto"/>
        <w:jc w:val="both"/>
        <w:rPr>
          <w:rFonts w:ascii="Times New Roman" w:hAnsi="Times New Roman" w:cs="Times New Roman"/>
          <w:b/>
          <w:sz w:val="24"/>
          <w:szCs w:val="24"/>
        </w:rPr>
      </w:pPr>
      <w:r w:rsidRPr="007073E1">
        <w:rPr>
          <w:rFonts w:ascii="Times New Roman" w:hAnsi="Times New Roman" w:cs="Times New Roman"/>
          <w:sz w:val="24"/>
          <w:szCs w:val="24"/>
        </w:rPr>
        <w:t>Punkt 1a stanowi, że taką równorzędną służbą są okresy służbyw</w:t>
      </w:r>
      <w:r w:rsidR="00C945D2" w:rsidRPr="007073E1">
        <w:rPr>
          <w:rFonts w:ascii="Times New Roman" w:hAnsi="Times New Roman" w:cs="Times New Roman"/>
          <w:sz w:val="24"/>
          <w:szCs w:val="24"/>
        </w:rPr>
        <w:t> </w:t>
      </w:r>
      <w:r w:rsidRPr="007073E1">
        <w:rPr>
          <w:rFonts w:ascii="Times New Roman" w:hAnsi="Times New Roman" w:cs="Times New Roman"/>
          <w:b/>
          <w:sz w:val="24"/>
          <w:szCs w:val="24"/>
        </w:rPr>
        <w:t>charakterze</w:t>
      </w:r>
      <w:r w:rsidRPr="007073E1">
        <w:rPr>
          <w:rFonts w:ascii="Times New Roman" w:hAnsi="Times New Roman" w:cs="Times New Roman"/>
          <w:sz w:val="24"/>
          <w:szCs w:val="24"/>
        </w:rPr>
        <w:t xml:space="preserve"> funkcjo</w:t>
      </w:r>
      <w:r w:rsidR="00C945D2" w:rsidRPr="007073E1">
        <w:rPr>
          <w:rFonts w:ascii="Times New Roman" w:hAnsi="Times New Roman" w:cs="Times New Roman"/>
          <w:sz w:val="24"/>
          <w:szCs w:val="24"/>
        </w:rPr>
        <w:t xml:space="preserve">nariusza Milicji Obywatelskiej </w:t>
      </w:r>
      <w:r w:rsidRPr="007073E1">
        <w:rPr>
          <w:rFonts w:ascii="Times New Roman" w:hAnsi="Times New Roman" w:cs="Times New Roman"/>
          <w:sz w:val="24"/>
          <w:szCs w:val="24"/>
        </w:rPr>
        <w:t>z określonymi wyjątkami. W</w:t>
      </w:r>
      <w:r w:rsidR="00C945D2" w:rsidRPr="007073E1">
        <w:rPr>
          <w:rFonts w:ascii="Times New Roman" w:hAnsi="Times New Roman" w:cs="Times New Roman"/>
          <w:sz w:val="24"/>
          <w:szCs w:val="24"/>
        </w:rPr>
        <w:t> </w:t>
      </w:r>
      <w:r w:rsidRPr="007073E1">
        <w:rPr>
          <w:rFonts w:ascii="Times New Roman" w:hAnsi="Times New Roman" w:cs="Times New Roman"/>
          <w:sz w:val="24"/>
          <w:szCs w:val="24"/>
        </w:rPr>
        <w:t xml:space="preserve">punkcie 1c tego samego przepisu wskazano „okresy służby na rzecz totalitarnego państwa, o której mowa w art. 13b, na zasadach określonych w art. 15c”. </w:t>
      </w:r>
      <w:r w:rsidRPr="007073E1">
        <w:rPr>
          <w:rFonts w:ascii="Times New Roman" w:hAnsi="Times New Roman" w:cs="Times New Roman"/>
          <w:b/>
          <w:sz w:val="24"/>
          <w:szCs w:val="24"/>
        </w:rPr>
        <w:t xml:space="preserve">Zatem wykładnia językowa tego przepisu pozwala na stwierdzenie, że </w:t>
      </w:r>
      <w:r w:rsidRPr="007073E1">
        <w:rPr>
          <w:rFonts w:ascii="Times New Roman" w:hAnsi="Times New Roman" w:cs="Times New Roman"/>
          <w:b/>
          <w:sz w:val="24"/>
          <w:szCs w:val="24"/>
          <w:highlight w:val="yellow"/>
        </w:rPr>
        <w:t>okresy służby w</w:t>
      </w:r>
      <w:r w:rsidR="00C945D2" w:rsidRPr="007073E1">
        <w:rPr>
          <w:rFonts w:ascii="Times New Roman" w:hAnsi="Times New Roman" w:cs="Times New Roman"/>
          <w:b/>
          <w:sz w:val="24"/>
          <w:szCs w:val="24"/>
          <w:highlight w:val="yellow"/>
        </w:rPr>
        <w:t> </w:t>
      </w:r>
      <w:r w:rsidRPr="007073E1">
        <w:rPr>
          <w:rFonts w:ascii="Times New Roman" w:hAnsi="Times New Roman" w:cs="Times New Roman"/>
          <w:b/>
          <w:sz w:val="24"/>
          <w:szCs w:val="24"/>
          <w:highlight w:val="yellow"/>
        </w:rPr>
        <w:t>charakterze funkcjonariusza Milicji Obywatelskiej, co do zasady nie są okresami „służby na rzecz totalitarnego państwa”</w:t>
      </w:r>
      <w:r w:rsidRPr="007073E1">
        <w:rPr>
          <w:rFonts w:ascii="Times New Roman" w:hAnsi="Times New Roman" w:cs="Times New Roman"/>
          <w:b/>
          <w:sz w:val="24"/>
          <w:szCs w:val="24"/>
        </w:rPr>
        <w:t>.</w:t>
      </w:r>
      <w:r w:rsidR="00DE7076" w:rsidRPr="007073E1">
        <w:rPr>
          <w:rFonts w:ascii="Times New Roman" w:hAnsi="Times New Roman" w:cs="Times New Roman"/>
          <w:b/>
          <w:sz w:val="24"/>
          <w:szCs w:val="24"/>
        </w:rPr>
        <w:t xml:space="preserve"> Czy Sąd Okręgowy w Warszawie lub inne sądy analizowały kiedykolwiek pojęcie „służba na rzecz totalitarnego państwa” pod tym względem?</w:t>
      </w:r>
    </w:p>
    <w:p w:rsidR="00782849" w:rsidRPr="007073E1" w:rsidRDefault="00C945D2" w:rsidP="001524C2">
      <w:pPr>
        <w:spacing w:after="0" w:line="240" w:lineRule="auto"/>
        <w:jc w:val="both"/>
        <w:rPr>
          <w:rFonts w:ascii="Times New Roman" w:eastAsia="Times New Roman" w:hAnsi="Times New Roman" w:cs="Times New Roman"/>
          <w:sz w:val="24"/>
          <w:szCs w:val="24"/>
          <w:lang w:eastAsia="pl-PL"/>
        </w:rPr>
      </w:pPr>
      <w:r w:rsidRPr="007073E1">
        <w:rPr>
          <w:rFonts w:ascii="Times New Roman" w:hAnsi="Times New Roman" w:cs="Times New Roman"/>
          <w:bCs/>
          <w:sz w:val="24"/>
          <w:szCs w:val="24"/>
        </w:rPr>
        <w:t>Dalej, n</w:t>
      </w:r>
      <w:r w:rsidR="00635D85" w:rsidRPr="007073E1">
        <w:rPr>
          <w:rFonts w:ascii="Times New Roman" w:hAnsi="Times New Roman" w:cs="Times New Roman"/>
          <w:bCs/>
          <w:sz w:val="24"/>
          <w:szCs w:val="24"/>
        </w:rPr>
        <w:t xml:space="preserve">a podstawie </w:t>
      </w:r>
      <w:r w:rsidR="00635D85" w:rsidRPr="007073E1">
        <w:rPr>
          <w:rFonts w:ascii="Times New Roman" w:hAnsi="Times New Roman" w:cs="Times New Roman"/>
          <w:b/>
          <w:bCs/>
          <w:sz w:val="24"/>
          <w:szCs w:val="24"/>
        </w:rPr>
        <w:t xml:space="preserve">art. 13a ust. </w:t>
      </w:r>
      <w:r w:rsidR="00635D85" w:rsidRPr="007073E1">
        <w:rPr>
          <w:rFonts w:ascii="Times New Roman" w:hAnsi="Times New Roman" w:cs="Times New Roman"/>
          <w:b/>
          <w:sz w:val="24"/>
          <w:szCs w:val="24"/>
        </w:rPr>
        <w:t>1</w:t>
      </w:r>
      <w:r w:rsidR="00635D85" w:rsidRPr="007073E1">
        <w:rPr>
          <w:rFonts w:ascii="Times New Roman" w:hAnsi="Times New Roman" w:cs="Times New Roman"/>
          <w:sz w:val="24"/>
          <w:szCs w:val="24"/>
        </w:rPr>
        <w:t xml:space="preserve"> na wniosek organu emerytalnego Instytut Pamięci Narodowej – Komisja Ścigania Zbrodni przeciwko Narodowi Polskiemu sporządza na podstawie posiadanych akt osobowych i, w terminie 4 miesięcy od dnia otrzymania wniosku, przekazuje organowi emerytalnemu informację o przebiegu służby wskazanych funkcjonariuszy na rzecz totalitarnego państwa, o której mowa w</w:t>
      </w:r>
      <w:r w:rsidR="00DE7076" w:rsidRPr="007073E1">
        <w:rPr>
          <w:rFonts w:ascii="Times New Roman" w:hAnsi="Times New Roman" w:cs="Times New Roman"/>
          <w:sz w:val="24"/>
          <w:szCs w:val="24"/>
        </w:rPr>
        <w:t> </w:t>
      </w:r>
      <w:r w:rsidR="00635D85" w:rsidRPr="007073E1">
        <w:rPr>
          <w:rFonts w:ascii="Times New Roman" w:hAnsi="Times New Roman" w:cs="Times New Roman"/>
          <w:sz w:val="24"/>
          <w:szCs w:val="24"/>
        </w:rPr>
        <w:t xml:space="preserve">art. 13b. O tym, jakie akta osobowe funkcjonariuszy może posiadać IPN wynika wprost z art. 52a pkt 6 i 35c ust. 1 pkt 1a </w:t>
      </w:r>
      <w:r w:rsidR="002932D8" w:rsidRPr="007073E1">
        <w:rPr>
          <w:rFonts w:ascii="Times New Roman" w:eastAsia="Times New Roman" w:hAnsi="Times New Roman" w:cs="Times New Roman"/>
          <w:sz w:val="24"/>
          <w:szCs w:val="24"/>
          <w:lang w:eastAsia="pl-PL"/>
        </w:rPr>
        <w:t xml:space="preserve"> u</w:t>
      </w:r>
      <w:r w:rsidR="00635D85" w:rsidRPr="007073E1">
        <w:rPr>
          <w:rFonts w:ascii="Times New Roman" w:eastAsia="Times New Roman" w:hAnsi="Times New Roman" w:cs="Times New Roman"/>
          <w:sz w:val="24"/>
          <w:szCs w:val="24"/>
          <w:lang w:eastAsia="pl-PL"/>
        </w:rPr>
        <w:t>stawy  dnia 18 grudnia 1998 r. o Instytucie Pamięci Narodowej – Komisji Ścigania Zbrodni przeciwko Narodowi Polskiemu (Dz.U. z 2019 r., poz. 1882). Oczywiście, że chodzi wyłącznie o akta osobowe funkcjonariuszy organów bezpieczeństwa państwa w rozumieniu dwóch ustaw, tj. ustawy o IPN i</w:t>
      </w:r>
      <w:r w:rsidRPr="007073E1">
        <w:rPr>
          <w:rFonts w:ascii="Times New Roman" w:eastAsia="Times New Roman" w:hAnsi="Times New Roman" w:cs="Times New Roman"/>
          <w:sz w:val="24"/>
          <w:szCs w:val="24"/>
          <w:lang w:eastAsia="pl-PL"/>
        </w:rPr>
        <w:t> </w:t>
      </w:r>
      <w:r w:rsidR="00635D85" w:rsidRPr="007073E1">
        <w:rPr>
          <w:rFonts w:ascii="Times New Roman" w:eastAsia="Times New Roman" w:hAnsi="Times New Roman" w:cs="Times New Roman"/>
          <w:sz w:val="24"/>
          <w:szCs w:val="24"/>
          <w:lang w:eastAsia="pl-PL"/>
        </w:rPr>
        <w:t>ustawy lustracyjnej.</w:t>
      </w:r>
      <w:r w:rsidR="00DE7076" w:rsidRPr="007073E1">
        <w:rPr>
          <w:rFonts w:ascii="Times New Roman" w:eastAsia="Times New Roman" w:hAnsi="Times New Roman" w:cs="Times New Roman"/>
          <w:sz w:val="24"/>
          <w:szCs w:val="24"/>
          <w:lang w:eastAsia="pl-PL"/>
        </w:rPr>
        <w:t xml:space="preserve"> </w:t>
      </w:r>
      <w:r w:rsidR="00DE7076" w:rsidRPr="007073E1">
        <w:rPr>
          <w:rFonts w:ascii="Times New Roman" w:eastAsia="Times New Roman" w:hAnsi="Times New Roman" w:cs="Times New Roman"/>
          <w:sz w:val="24"/>
          <w:szCs w:val="24"/>
          <w:highlight w:val="yellow"/>
          <w:lang w:eastAsia="pl-PL"/>
        </w:rPr>
        <w:t>Czy</w:t>
      </w:r>
      <w:r w:rsidR="00352446" w:rsidRPr="007073E1">
        <w:rPr>
          <w:rFonts w:ascii="Times New Roman" w:eastAsia="Times New Roman" w:hAnsi="Times New Roman" w:cs="Times New Roman"/>
          <w:sz w:val="24"/>
          <w:szCs w:val="24"/>
          <w:highlight w:val="yellow"/>
          <w:lang w:eastAsia="pl-PL"/>
        </w:rPr>
        <w:t xml:space="preserve"> któryś z sądów zastanawiał się</w:t>
      </w:r>
      <w:r w:rsidR="00DE7076" w:rsidRPr="007073E1">
        <w:rPr>
          <w:rFonts w:ascii="Times New Roman" w:eastAsia="Times New Roman" w:hAnsi="Times New Roman" w:cs="Times New Roman"/>
          <w:sz w:val="24"/>
          <w:szCs w:val="24"/>
          <w:highlight w:val="yellow"/>
          <w:lang w:eastAsia="pl-PL"/>
        </w:rPr>
        <w:t xml:space="preserve"> jak to możliwe, że IPN wystawia informację o służbie na rzecz totalitarnego państwa wobec osób, które nie były funkcjonariuszami organów bezpieczeństwa i </w:t>
      </w:r>
      <w:r w:rsidR="00352446" w:rsidRPr="007073E1">
        <w:rPr>
          <w:rFonts w:ascii="Times New Roman" w:eastAsia="Times New Roman" w:hAnsi="Times New Roman" w:cs="Times New Roman"/>
          <w:sz w:val="24"/>
          <w:szCs w:val="24"/>
          <w:highlight w:val="yellow"/>
          <w:lang w:eastAsia="pl-PL"/>
        </w:rPr>
        <w:t xml:space="preserve">nawet </w:t>
      </w:r>
      <w:r w:rsidR="00DE7076" w:rsidRPr="007073E1">
        <w:rPr>
          <w:rFonts w:ascii="Times New Roman" w:eastAsia="Times New Roman" w:hAnsi="Times New Roman" w:cs="Times New Roman"/>
          <w:sz w:val="24"/>
          <w:szCs w:val="24"/>
          <w:highlight w:val="yellow"/>
          <w:lang w:eastAsia="pl-PL"/>
        </w:rPr>
        <w:t>legitymują się pozytywnym wyrokiem autolustracyjnym?</w:t>
      </w:r>
    </w:p>
    <w:p w:rsidR="00610322" w:rsidRPr="007073E1" w:rsidRDefault="00610322" w:rsidP="001524C2">
      <w:pPr>
        <w:spacing w:after="0" w:line="240" w:lineRule="auto"/>
        <w:jc w:val="both"/>
        <w:rPr>
          <w:rFonts w:ascii="Times New Roman" w:hAnsi="Times New Roman" w:cs="Times New Roman"/>
          <w:sz w:val="24"/>
          <w:szCs w:val="24"/>
        </w:rPr>
      </w:pPr>
      <w:r w:rsidRPr="007073E1">
        <w:rPr>
          <w:rFonts w:ascii="Times New Roman" w:hAnsi="Times New Roman" w:cs="Times New Roman"/>
          <w:sz w:val="24"/>
          <w:szCs w:val="24"/>
        </w:rPr>
        <w:lastRenderedPageBreak/>
        <w:t xml:space="preserve">Kolejna kwestia, to choćby prawidłowe odkodowanie pojęcia „służba” z art. 13b ust. 1. Pomimo tego, że „stosunek służbowy” i „służba” to terminy prawne, to w polskim systemie prawnym brak ich definicji legalnej. „Służba” oznacza pracę </w:t>
      </w:r>
      <w:r w:rsidRPr="007073E1">
        <w:rPr>
          <w:rFonts w:ascii="Times New Roman" w:hAnsi="Times New Roman" w:cs="Times New Roman"/>
          <w:iCs/>
          <w:sz w:val="24"/>
          <w:szCs w:val="24"/>
        </w:rPr>
        <w:t>w urzędzie państwowym, instytucji użytecznościpublicznej, wojsku itp</w:t>
      </w:r>
      <w:r w:rsidRPr="007073E1">
        <w:rPr>
          <w:rFonts w:ascii="Times New Roman" w:hAnsi="Times New Roman" w:cs="Times New Roman"/>
          <w:sz w:val="24"/>
          <w:szCs w:val="24"/>
        </w:rPr>
        <w:t xml:space="preserve">. Rozważania te są istotne dla ustalenia zakresu odniesienia stosunku służbowego jako stosunku prawnego, czyli więzi (relacji) prawnej pomiędzy instytucją państwową a osobą w niej zatrudnioną i realizującą zadania publiczne. Bez ustalenia, że taka więź istniała nie jest możliwe stwierdzenie, że  dana osoba pełniła „służbę na rzecz totalitarnego państwa”, gdyż aby pełnić taką służbę należało w ogóle pełnić służbę w instytucji wskazanej w art. 13b ustawy. W wielu sprawach zawisłych przed Sądem Okręgowym w Warszawie nie jest to problem teoretyczny. </w:t>
      </w:r>
      <w:r w:rsidR="00CB6E0D" w:rsidRPr="007073E1">
        <w:rPr>
          <w:rFonts w:ascii="Times New Roman" w:hAnsi="Times New Roman" w:cs="Times New Roman"/>
          <w:sz w:val="24"/>
          <w:szCs w:val="24"/>
        </w:rPr>
        <w:t>To przykłady problemów, które próbowały podejmować tylko nieliczne sądy w jeszcze bardziej nielicznych sprawach.</w:t>
      </w:r>
    </w:p>
    <w:p w:rsidR="00394E27" w:rsidRPr="007073E1" w:rsidRDefault="008145CA" w:rsidP="001524C2">
      <w:pPr>
        <w:spacing w:after="0" w:line="240" w:lineRule="auto"/>
        <w:jc w:val="both"/>
        <w:rPr>
          <w:rFonts w:ascii="Times New Roman" w:hAnsi="Times New Roman" w:cs="Times New Roman"/>
          <w:sz w:val="24"/>
          <w:szCs w:val="24"/>
        </w:rPr>
      </w:pPr>
      <w:r w:rsidRPr="007073E1">
        <w:rPr>
          <w:rFonts w:ascii="Times New Roman" w:hAnsi="Times New Roman" w:cs="Times New Roman"/>
          <w:sz w:val="24"/>
          <w:szCs w:val="24"/>
        </w:rPr>
        <w:t xml:space="preserve">Drugi wniosek jest bardziej optymistyczny i można go sprowadzić do następującego stwierdzenia: Rzeczą drugorzędną w procesie sądowej wykładni prawa jest to, czy konkretny przepis ustawy jest zgodny lub nie jest zgodny z Konstytucją. </w:t>
      </w:r>
      <w:r w:rsidRPr="007073E1">
        <w:rPr>
          <w:rFonts w:ascii="Times New Roman" w:hAnsi="Times New Roman" w:cs="Times New Roman"/>
          <w:b/>
          <w:sz w:val="24"/>
          <w:szCs w:val="24"/>
        </w:rPr>
        <w:t>Rzeczą najważniejszą dla sądu jest odpowiednie stosowanie prawa w zgodzie z Konstytucją i prawami człowieka.</w:t>
      </w:r>
      <w:r w:rsidRPr="007073E1">
        <w:rPr>
          <w:rFonts w:ascii="Times New Roman" w:hAnsi="Times New Roman" w:cs="Times New Roman"/>
          <w:sz w:val="24"/>
          <w:szCs w:val="24"/>
        </w:rPr>
        <w:t xml:space="preserve"> Przecież przepis generalnie zgodny z Konstytucją m</w:t>
      </w:r>
      <w:r w:rsidR="00823630" w:rsidRPr="007073E1">
        <w:rPr>
          <w:rFonts w:ascii="Times New Roman" w:hAnsi="Times New Roman" w:cs="Times New Roman"/>
          <w:sz w:val="24"/>
          <w:szCs w:val="24"/>
        </w:rPr>
        <w:t>oże być zastosowany w indywidualnej</w:t>
      </w:r>
      <w:r w:rsidRPr="007073E1">
        <w:rPr>
          <w:rFonts w:ascii="Times New Roman" w:hAnsi="Times New Roman" w:cs="Times New Roman"/>
          <w:sz w:val="24"/>
          <w:szCs w:val="24"/>
        </w:rPr>
        <w:t xml:space="preserve"> sprawie sprzecznie z zasadami konstytucyjnymi, jeżeli sąd nie uwzględni wszystkich okoliczności i aspektów prawnych w konkretnym stanie faktycznym. Tak samo możliwe jest dokonanie wykładni przepisu, który obiektywnie może być niekonstytucyjny, zapewniającej orzeczenie zgodne z</w:t>
      </w:r>
      <w:r w:rsidR="00823630" w:rsidRPr="007073E1">
        <w:rPr>
          <w:rFonts w:ascii="Times New Roman" w:hAnsi="Times New Roman" w:cs="Times New Roman"/>
          <w:sz w:val="24"/>
          <w:szCs w:val="24"/>
        </w:rPr>
        <w:t> </w:t>
      </w:r>
      <w:r w:rsidRPr="007073E1">
        <w:rPr>
          <w:rFonts w:ascii="Times New Roman" w:hAnsi="Times New Roman" w:cs="Times New Roman"/>
          <w:sz w:val="24"/>
          <w:szCs w:val="24"/>
        </w:rPr>
        <w:t>normami zawartymi w Konstytucji.</w:t>
      </w:r>
    </w:p>
    <w:p w:rsidR="00C7175E" w:rsidRPr="007073E1" w:rsidRDefault="00394E27" w:rsidP="001524C2">
      <w:pPr>
        <w:spacing w:after="0" w:line="240" w:lineRule="auto"/>
        <w:jc w:val="both"/>
        <w:rPr>
          <w:rFonts w:ascii="Times New Roman" w:hAnsi="Times New Roman" w:cs="Times New Roman"/>
          <w:sz w:val="24"/>
          <w:szCs w:val="24"/>
        </w:rPr>
      </w:pPr>
      <w:r w:rsidRPr="007073E1">
        <w:rPr>
          <w:rFonts w:ascii="Times New Roman" w:hAnsi="Times New Roman" w:cs="Times New Roman"/>
          <w:sz w:val="24"/>
          <w:szCs w:val="24"/>
        </w:rPr>
        <w:t>W takim przypadku wystarczające staje się zachowanie reguł prawidłowej wykładni</w:t>
      </w:r>
      <w:r w:rsidR="00954163" w:rsidRPr="007073E1">
        <w:rPr>
          <w:rFonts w:ascii="Times New Roman" w:hAnsi="Times New Roman" w:cs="Times New Roman"/>
          <w:sz w:val="24"/>
          <w:szCs w:val="24"/>
        </w:rPr>
        <w:t xml:space="preserve"> prawa</w:t>
      </w:r>
      <w:r w:rsidRPr="007073E1">
        <w:rPr>
          <w:rFonts w:ascii="Times New Roman" w:hAnsi="Times New Roman" w:cs="Times New Roman"/>
          <w:sz w:val="24"/>
          <w:szCs w:val="24"/>
        </w:rPr>
        <w:t xml:space="preserve">, która prowadzi do wniosku, że </w:t>
      </w:r>
      <w:r w:rsidRPr="007073E1">
        <w:rPr>
          <w:rFonts w:ascii="Times New Roman" w:hAnsi="Times New Roman" w:cs="Times New Roman"/>
          <w:b/>
          <w:sz w:val="24"/>
          <w:szCs w:val="24"/>
        </w:rPr>
        <w:t>w konkretnym przypadku kwestionowany przepis ustawowy nie znajduje zastosowania</w:t>
      </w:r>
      <w:r w:rsidR="00FE6F87" w:rsidRPr="007073E1">
        <w:rPr>
          <w:rFonts w:ascii="Times New Roman" w:hAnsi="Times New Roman" w:cs="Times New Roman"/>
          <w:b/>
          <w:sz w:val="24"/>
          <w:szCs w:val="24"/>
        </w:rPr>
        <w:t xml:space="preserve"> lub można go zastosować w inny sposób.</w:t>
      </w:r>
      <w:r w:rsidR="0060413B" w:rsidRPr="007073E1">
        <w:rPr>
          <w:rFonts w:ascii="Times New Roman" w:hAnsi="Times New Roman" w:cs="Times New Roman"/>
          <w:b/>
          <w:sz w:val="24"/>
          <w:szCs w:val="24"/>
        </w:rPr>
        <w:t xml:space="preserve"> </w:t>
      </w:r>
      <w:r w:rsidR="0060413B" w:rsidRPr="007073E1">
        <w:rPr>
          <w:rFonts w:ascii="Times New Roman" w:hAnsi="Times New Roman" w:cs="Times New Roman"/>
          <w:sz w:val="24"/>
          <w:szCs w:val="24"/>
        </w:rPr>
        <w:t>Posłużę</w:t>
      </w:r>
      <w:r w:rsidR="00FE6F87" w:rsidRPr="007073E1">
        <w:rPr>
          <w:rFonts w:ascii="Times New Roman" w:hAnsi="Times New Roman" w:cs="Times New Roman"/>
          <w:sz w:val="24"/>
          <w:szCs w:val="24"/>
        </w:rPr>
        <w:t xml:space="preserve"> się tutaj prostym przykładem z praktyki orzeczniczej. </w:t>
      </w:r>
      <w:r w:rsidR="0060413B" w:rsidRPr="007073E1">
        <w:rPr>
          <w:rFonts w:ascii="Times New Roman" w:hAnsi="Times New Roman" w:cs="Times New Roman"/>
          <w:sz w:val="24"/>
          <w:szCs w:val="24"/>
        </w:rPr>
        <w:t>Sąd Okręgowy w Poznaniu procedował w sprawie byłego funkcjonariusza Milicji Obywatelskiej, który jak się okazuje</w:t>
      </w:r>
      <w:r w:rsidR="00F51C32" w:rsidRPr="007073E1">
        <w:rPr>
          <w:rFonts w:ascii="Times New Roman" w:hAnsi="Times New Roman" w:cs="Times New Roman"/>
          <w:sz w:val="24"/>
          <w:szCs w:val="24"/>
        </w:rPr>
        <w:t>,</w:t>
      </w:r>
      <w:r w:rsidR="0060413B" w:rsidRPr="007073E1">
        <w:rPr>
          <w:rFonts w:ascii="Times New Roman" w:hAnsi="Times New Roman" w:cs="Times New Roman"/>
          <w:sz w:val="24"/>
          <w:szCs w:val="24"/>
        </w:rPr>
        <w:t xml:space="preserve"> miał nieszczęście studiować w Wyższej Szkole Oficerskiej MSW w Legionowie.</w:t>
      </w:r>
      <w:r w:rsidR="00F51C32" w:rsidRPr="007073E1">
        <w:rPr>
          <w:rFonts w:ascii="Times New Roman" w:hAnsi="Times New Roman" w:cs="Times New Roman"/>
          <w:sz w:val="24"/>
          <w:szCs w:val="24"/>
        </w:rPr>
        <w:t xml:space="preserve"> Oczywiste w tej sprawie było od samego początku, że nie nawiązał stosunku służbowego z tą szkołą (nie zatrudnił się), ale był tam wyłącznie</w:t>
      </w:r>
      <w:r w:rsidR="00AE514E" w:rsidRPr="007073E1">
        <w:rPr>
          <w:rFonts w:ascii="Times New Roman" w:hAnsi="Times New Roman" w:cs="Times New Roman"/>
          <w:sz w:val="24"/>
          <w:szCs w:val="24"/>
        </w:rPr>
        <w:t xml:space="preserve"> </w:t>
      </w:r>
      <w:r w:rsidR="00F51C32" w:rsidRPr="007073E1">
        <w:rPr>
          <w:rFonts w:ascii="Times New Roman" w:hAnsi="Times New Roman" w:cs="Times New Roman"/>
          <w:sz w:val="24"/>
          <w:szCs w:val="24"/>
        </w:rPr>
        <w:t>podchorążym i uczył się jednocześnie będąc zatrudnionym (związanym stosunkiem służbowym) na etacie funkcjonariusza MO w</w:t>
      </w:r>
      <w:r w:rsidR="00954163" w:rsidRPr="007073E1">
        <w:rPr>
          <w:rFonts w:ascii="Times New Roman" w:hAnsi="Times New Roman" w:cs="Times New Roman"/>
          <w:sz w:val="24"/>
          <w:szCs w:val="24"/>
        </w:rPr>
        <w:t> </w:t>
      </w:r>
      <w:r w:rsidR="00F51C32" w:rsidRPr="007073E1">
        <w:rPr>
          <w:rFonts w:ascii="Times New Roman" w:hAnsi="Times New Roman" w:cs="Times New Roman"/>
          <w:sz w:val="24"/>
          <w:szCs w:val="24"/>
        </w:rPr>
        <w:t>jednostce kierującej na studia.</w:t>
      </w:r>
      <w:r w:rsidR="00C7175E" w:rsidRPr="007073E1">
        <w:rPr>
          <w:rFonts w:ascii="Times New Roman" w:hAnsi="Times New Roman" w:cs="Times New Roman"/>
          <w:sz w:val="24"/>
          <w:szCs w:val="24"/>
        </w:rPr>
        <w:t xml:space="preserve"> </w:t>
      </w:r>
      <w:r w:rsidR="00C7175E" w:rsidRPr="007073E1">
        <w:rPr>
          <w:rFonts w:ascii="Times New Roman" w:hAnsi="Times New Roman" w:cs="Times New Roman"/>
          <w:b/>
          <w:sz w:val="24"/>
          <w:szCs w:val="24"/>
        </w:rPr>
        <w:t>Sąd „rozłożył na łopatki” informację IPN jednym zdaniem, stwierdzając, że przepis ten ma zastosowanie wyłącznie do tych słuchaczy, którzy byli na etatach Służby Bezpieczeństwa.</w:t>
      </w:r>
      <w:r w:rsidR="009B30E4" w:rsidRPr="007073E1">
        <w:rPr>
          <w:rFonts w:ascii="Times New Roman" w:hAnsi="Times New Roman" w:cs="Times New Roman"/>
          <w:sz w:val="24"/>
          <w:szCs w:val="24"/>
        </w:rPr>
        <w:t xml:space="preserve"> Należy zauważyć, że Sąd w tym przypadku nie odmówił stosowania art. 13b ustawy zaopatrzeniowej. Wręcz przeciwnie, Sąd zastosował ten przepis i dokonał je</w:t>
      </w:r>
      <w:r w:rsidR="00954163" w:rsidRPr="007073E1">
        <w:rPr>
          <w:rFonts w:ascii="Times New Roman" w:hAnsi="Times New Roman" w:cs="Times New Roman"/>
          <w:sz w:val="24"/>
          <w:szCs w:val="24"/>
        </w:rPr>
        <w:t>go wykładni</w:t>
      </w:r>
      <w:r w:rsidR="009B30E4" w:rsidRPr="007073E1">
        <w:rPr>
          <w:rFonts w:ascii="Times New Roman" w:hAnsi="Times New Roman" w:cs="Times New Roman"/>
          <w:sz w:val="24"/>
          <w:szCs w:val="24"/>
        </w:rPr>
        <w:t>.</w:t>
      </w:r>
    </w:p>
    <w:p w:rsidR="00CB6E0D" w:rsidRPr="007073E1" w:rsidRDefault="00C7175E" w:rsidP="001524C2">
      <w:pPr>
        <w:spacing w:after="0" w:line="240" w:lineRule="auto"/>
        <w:jc w:val="both"/>
        <w:rPr>
          <w:rFonts w:ascii="Times New Roman" w:hAnsi="Times New Roman" w:cs="Times New Roman"/>
          <w:sz w:val="24"/>
          <w:szCs w:val="24"/>
        </w:rPr>
      </w:pPr>
      <w:r w:rsidRPr="007073E1">
        <w:rPr>
          <w:rFonts w:ascii="Times New Roman" w:hAnsi="Times New Roman" w:cs="Times New Roman"/>
          <w:sz w:val="24"/>
          <w:szCs w:val="24"/>
        </w:rPr>
        <w:t xml:space="preserve">Ustawa z dnia 16 grudnia 2016 roku wprowadza niezwykle zawiłe, niejasne i wewnętrznie sprzeczne, represyjne rozwiązania prawne. Wbrew pozorom, tym łatwiej je obalić w konkretnych sprawach, na co już wskazywał Rzecznik Praw Obywatelskich. W takiej sytuacji nie należało wyczekiwać biernie na orzeczenie Trybunału Konstytucyjnego naiwnie sądząc, że Trybunał uwolni sądy od obowiązku bezstronnego i sprawiedliwego rozpatrzenia każdej sprawy zgodnie z zasadami wyrażonymi w Konstytucji RP i </w:t>
      </w:r>
      <w:r w:rsidR="000B116C" w:rsidRPr="007073E1">
        <w:rPr>
          <w:rFonts w:ascii="Times New Roman" w:hAnsi="Times New Roman" w:cs="Times New Roman"/>
          <w:sz w:val="24"/>
          <w:szCs w:val="24"/>
        </w:rPr>
        <w:t>Konwencji o Ochronie Praw C</w:t>
      </w:r>
      <w:bookmarkStart w:id="0" w:name="_ftnref3"/>
      <w:r w:rsidR="000B116C" w:rsidRPr="007073E1">
        <w:rPr>
          <w:rFonts w:ascii="Times New Roman" w:hAnsi="Times New Roman" w:cs="Times New Roman"/>
          <w:sz w:val="24"/>
          <w:szCs w:val="24"/>
        </w:rPr>
        <w:t>złowieka i Podstawowych Wolności</w:t>
      </w:r>
      <w:bookmarkEnd w:id="0"/>
      <w:r w:rsidR="000B116C" w:rsidRPr="007073E1">
        <w:rPr>
          <w:rFonts w:ascii="Times New Roman" w:hAnsi="Times New Roman" w:cs="Times New Roman"/>
          <w:sz w:val="24"/>
          <w:szCs w:val="24"/>
        </w:rPr>
        <w:t>.</w:t>
      </w:r>
    </w:p>
    <w:p w:rsidR="006F183F" w:rsidRPr="00271446" w:rsidRDefault="007073E1" w:rsidP="001524C2">
      <w:pPr>
        <w:spacing w:after="0" w:line="240" w:lineRule="auto"/>
        <w:jc w:val="both"/>
        <w:rPr>
          <w:rFonts w:ascii="Times New Roman" w:eastAsia="Times New Roman" w:hAnsi="Times New Roman" w:cs="Times New Roman"/>
          <w:b/>
          <w:sz w:val="24"/>
          <w:szCs w:val="24"/>
          <w:lang w:eastAsia="pl-PL"/>
        </w:rPr>
      </w:pPr>
      <w:r w:rsidRPr="007073E1">
        <w:rPr>
          <w:rFonts w:ascii="Times New Roman" w:eastAsia="Times New Roman" w:hAnsi="Times New Roman" w:cs="Times New Roman"/>
          <w:b/>
          <w:sz w:val="24"/>
          <w:szCs w:val="24"/>
          <w:lang w:eastAsia="pl-PL"/>
        </w:rPr>
        <w:t>Tekst przesłany przez naszego Kolegę z Mazowsza.</w:t>
      </w:r>
      <w:bookmarkStart w:id="1" w:name="_GoBack"/>
      <w:bookmarkEnd w:id="1"/>
    </w:p>
    <w:sectPr w:rsidR="006F183F" w:rsidRPr="00271446" w:rsidSect="00CD4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8F2"/>
    <w:multiLevelType w:val="hybridMultilevel"/>
    <w:tmpl w:val="5582F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8251C"/>
    <w:rsid w:val="000B116C"/>
    <w:rsid w:val="00124EC8"/>
    <w:rsid w:val="001524C2"/>
    <w:rsid w:val="00271446"/>
    <w:rsid w:val="002932D8"/>
    <w:rsid w:val="002C2C34"/>
    <w:rsid w:val="00342C10"/>
    <w:rsid w:val="00352446"/>
    <w:rsid w:val="00394E27"/>
    <w:rsid w:val="003B1DBC"/>
    <w:rsid w:val="00483FC4"/>
    <w:rsid w:val="004B121F"/>
    <w:rsid w:val="00501FFB"/>
    <w:rsid w:val="00505EBB"/>
    <w:rsid w:val="0060413B"/>
    <w:rsid w:val="00610322"/>
    <w:rsid w:val="00635D85"/>
    <w:rsid w:val="006A21EC"/>
    <w:rsid w:val="006C0FAE"/>
    <w:rsid w:val="006F183F"/>
    <w:rsid w:val="007073E1"/>
    <w:rsid w:val="00714751"/>
    <w:rsid w:val="00777B3A"/>
    <w:rsid w:val="00782849"/>
    <w:rsid w:val="008145CA"/>
    <w:rsid w:val="00817E6E"/>
    <w:rsid w:val="00823630"/>
    <w:rsid w:val="008F40D0"/>
    <w:rsid w:val="008F7B5E"/>
    <w:rsid w:val="00923346"/>
    <w:rsid w:val="00954163"/>
    <w:rsid w:val="0098251C"/>
    <w:rsid w:val="009A4EDF"/>
    <w:rsid w:val="009B30E4"/>
    <w:rsid w:val="009D711E"/>
    <w:rsid w:val="00AD533A"/>
    <w:rsid w:val="00AE514E"/>
    <w:rsid w:val="00B20941"/>
    <w:rsid w:val="00B53D2E"/>
    <w:rsid w:val="00BC0B8C"/>
    <w:rsid w:val="00BF2F96"/>
    <w:rsid w:val="00C2764B"/>
    <w:rsid w:val="00C7175E"/>
    <w:rsid w:val="00C81A0D"/>
    <w:rsid w:val="00C945D2"/>
    <w:rsid w:val="00CB6E0D"/>
    <w:rsid w:val="00CD46DB"/>
    <w:rsid w:val="00D542E4"/>
    <w:rsid w:val="00D67D8A"/>
    <w:rsid w:val="00DB7A02"/>
    <w:rsid w:val="00DE7076"/>
    <w:rsid w:val="00E86EF9"/>
    <w:rsid w:val="00F44AD2"/>
    <w:rsid w:val="00F51C32"/>
    <w:rsid w:val="00FD56CB"/>
    <w:rsid w:val="00FE6F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15723-9BD3-4965-BFC5-AAE97544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6DB"/>
  </w:style>
  <w:style w:type="paragraph" w:styleId="Nagwek1">
    <w:name w:val="heading 1"/>
    <w:basedOn w:val="Normalny"/>
    <w:link w:val="Nagwek1Znak"/>
    <w:uiPriority w:val="9"/>
    <w:qFormat/>
    <w:rsid w:val="00D54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0B8C"/>
    <w:pPr>
      <w:spacing w:after="0" w:line="240" w:lineRule="auto"/>
    </w:pPr>
  </w:style>
  <w:style w:type="character" w:customStyle="1" w:styleId="Nagwek1Znak">
    <w:name w:val="Nagłówek 1 Znak"/>
    <w:basedOn w:val="Domylnaczcionkaakapitu"/>
    <w:link w:val="Nagwek1"/>
    <w:uiPriority w:val="9"/>
    <w:rsid w:val="00D542E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542E4"/>
    <w:rPr>
      <w:color w:val="0563C1" w:themeColor="hyperlink"/>
      <w:u w:val="single"/>
    </w:rPr>
  </w:style>
  <w:style w:type="paragraph" w:styleId="NormalnyWeb">
    <w:name w:val="Normal (Web)"/>
    <w:basedOn w:val="Normalny"/>
    <w:uiPriority w:val="99"/>
    <w:semiHidden/>
    <w:unhideWhenUsed/>
    <w:rsid w:val="00817E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fo-list-value-uzasadnienie">
    <w:name w:val="info-list-value-uzasadnienie"/>
    <w:basedOn w:val="Domylnaczcionkaakapitu"/>
    <w:rsid w:val="00C2764B"/>
  </w:style>
  <w:style w:type="character" w:customStyle="1" w:styleId="warheader">
    <w:name w:val="war_header"/>
    <w:basedOn w:val="Domylnaczcionkaakapitu"/>
    <w:rsid w:val="00635D85"/>
  </w:style>
  <w:style w:type="paragraph" w:customStyle="1" w:styleId="Default">
    <w:name w:val="Default"/>
    <w:rsid w:val="00635D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6412">
      <w:bodyDiv w:val="1"/>
      <w:marLeft w:val="0"/>
      <w:marRight w:val="0"/>
      <w:marTop w:val="0"/>
      <w:marBottom w:val="0"/>
      <w:divBdr>
        <w:top w:val="none" w:sz="0" w:space="0" w:color="auto"/>
        <w:left w:val="none" w:sz="0" w:space="0" w:color="auto"/>
        <w:bottom w:val="none" w:sz="0" w:space="0" w:color="auto"/>
        <w:right w:val="none" w:sz="0" w:space="0" w:color="auto"/>
      </w:divBdr>
    </w:div>
    <w:div w:id="856315516">
      <w:bodyDiv w:val="1"/>
      <w:marLeft w:val="0"/>
      <w:marRight w:val="0"/>
      <w:marTop w:val="0"/>
      <w:marBottom w:val="0"/>
      <w:divBdr>
        <w:top w:val="none" w:sz="0" w:space="0" w:color="auto"/>
        <w:left w:val="none" w:sz="0" w:space="0" w:color="auto"/>
        <w:bottom w:val="none" w:sz="0" w:space="0" w:color="auto"/>
        <w:right w:val="none" w:sz="0" w:space="0" w:color="auto"/>
      </w:divBdr>
    </w:div>
    <w:div w:id="18729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1653</Words>
  <Characters>9921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Wojewoda</dc:creator>
  <cp:lastModifiedBy>Stowarzyszenie Emerytów</cp:lastModifiedBy>
  <cp:revision>4</cp:revision>
  <dcterms:created xsi:type="dcterms:W3CDTF">2020-03-14T21:06:00Z</dcterms:created>
  <dcterms:modified xsi:type="dcterms:W3CDTF">2020-03-17T22:49:00Z</dcterms:modified>
</cp:coreProperties>
</file>