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DC9" w:rsidRPr="00232DC9" w:rsidRDefault="00232DC9" w:rsidP="00232DC9">
      <w:pPr>
        <w:rPr>
          <w:b/>
        </w:rPr>
      </w:pPr>
      <w:r w:rsidRPr="00232DC9">
        <w:rPr>
          <w:b/>
        </w:rPr>
        <w:t xml:space="preserve">Wyrok Wojewódzkiego Sądu Administracyjnego w Gdańsku </w:t>
      </w:r>
      <w:bookmarkStart w:id="0" w:name="_GoBack"/>
      <w:bookmarkEnd w:id="0"/>
      <w:r w:rsidRPr="00232DC9">
        <w:rPr>
          <w:b/>
        </w:rPr>
        <w:t>sygn. akt III SAB</w:t>
      </w:r>
      <w:r>
        <w:rPr>
          <w:b/>
        </w:rPr>
        <w:t xml:space="preserve"> </w:t>
      </w:r>
      <w:r w:rsidRPr="00232DC9">
        <w:rPr>
          <w:b/>
        </w:rPr>
        <w:t>Gd 24 - 20 z 24 kwietnia 2020 roku</w:t>
      </w:r>
    </w:p>
    <w:p w:rsidR="00232DC9" w:rsidRDefault="00232DC9" w:rsidP="00232DC9"/>
    <w:p w:rsidR="00232DC9" w:rsidRDefault="00BA14E9" w:rsidP="00232DC9">
      <w:hyperlink r:id="rId6" w:history="1">
        <w:r w:rsidR="00232DC9">
          <w:rPr>
            <w:rStyle w:val="Hipercze"/>
          </w:rPr>
          <w:t>http://orzeczenia.nsa.gov.pl/doc/31ACFC19E7</w:t>
        </w:r>
      </w:hyperlink>
    </w:p>
    <w:p w:rsidR="00232DC9" w:rsidRDefault="00232DC9" w:rsidP="00232DC9">
      <w:pPr>
        <w:rPr>
          <w:rFonts w:ascii="Helvetica" w:hAnsi="Helvetica" w:cs="Helvetica"/>
          <w:b/>
          <w:bCs/>
          <w:color w:val="auto"/>
        </w:rPr>
      </w:pPr>
    </w:p>
    <w:p w:rsidR="00232DC9" w:rsidRDefault="00232DC9" w:rsidP="00232DC9">
      <w:pPr>
        <w:rPr>
          <w:rFonts w:ascii="Helvetica" w:hAnsi="Helvetica" w:cs="Helvetica"/>
          <w:b/>
          <w:bCs/>
          <w:color w:val="auto"/>
        </w:rPr>
      </w:pPr>
    </w:p>
    <w:p w:rsidR="00232DC9" w:rsidRDefault="00232DC9" w:rsidP="00232DC9">
      <w:pPr>
        <w:rPr>
          <w:rFonts w:ascii="Helvetica" w:hAnsi="Helvetica" w:cs="Helvetica"/>
          <w:color w:val="auto"/>
        </w:rPr>
      </w:pPr>
      <w:r>
        <w:rPr>
          <w:rFonts w:ascii="Helvetica" w:hAnsi="Helvetica" w:cs="Helvetica"/>
          <w:b/>
          <w:bCs/>
          <w:color w:val="auto"/>
        </w:rPr>
        <w:t>III SAB/Gd 24/20 - Wyrok</w:t>
      </w:r>
    </w:p>
    <w:p w:rsidR="00232DC9" w:rsidRDefault="00232DC9" w:rsidP="00232DC9">
      <w:pPr>
        <w:rPr>
          <w:rFonts w:ascii="Helvetica" w:hAnsi="Helvetica" w:cs="Helvetica"/>
          <w:color w:val="auto"/>
        </w:rPr>
      </w:pPr>
    </w:p>
    <w:tbl>
      <w:tblPr>
        <w:tblW w:w="9347" w:type="dxa"/>
        <w:tblInd w:w="50" w:type="dxa"/>
        <w:tblLayout w:type="fixed"/>
        <w:tblCellMar>
          <w:left w:w="50" w:type="dxa"/>
          <w:right w:w="50" w:type="dxa"/>
        </w:tblCellMar>
        <w:tblLook w:val="0000" w:firstRow="0" w:lastRow="0" w:firstColumn="0" w:lastColumn="0" w:noHBand="0" w:noVBand="0"/>
      </w:tblPr>
      <w:tblGrid>
        <w:gridCol w:w="1869"/>
        <w:gridCol w:w="7478"/>
      </w:tblGrid>
      <w:tr w:rsidR="00232DC9" w:rsidTr="00C761DA">
        <w:tc>
          <w:tcPr>
            <w:tcW w:w="1869" w:type="dxa"/>
            <w:tcBorders>
              <w:top w:val="single" w:sz="12" w:space="0" w:color="000000"/>
              <w:left w:val="single" w:sz="2" w:space="0" w:color="C0C0C0"/>
              <w:bottom w:val="nil"/>
              <w:right w:val="nil"/>
            </w:tcBorders>
            <w:shd w:val="clear" w:color="auto" w:fill="FFFFFF"/>
            <w:tcMar>
              <w:top w:w="50" w:type="dxa"/>
              <w:left w:w="50" w:type="dxa"/>
              <w:bottom w:w="50" w:type="dxa"/>
              <w:right w:w="50" w:type="dxa"/>
            </w:tcMar>
          </w:tcPr>
          <w:p w:rsidR="00232DC9" w:rsidRDefault="00232DC9" w:rsidP="00C761DA">
            <w:pPr>
              <w:rPr>
                <w:rFonts w:ascii="Helvetica" w:hAnsi="Helvetica" w:cs="Helvetica"/>
                <w:color w:val="auto"/>
                <w:sz w:val="18"/>
                <w:szCs w:val="18"/>
              </w:rPr>
            </w:pPr>
            <w:r>
              <w:rPr>
                <w:rFonts w:ascii="Helvetica" w:hAnsi="Helvetica" w:cs="Helvetica"/>
                <w:b/>
                <w:bCs/>
                <w:color w:val="auto"/>
                <w:sz w:val="18"/>
                <w:szCs w:val="18"/>
              </w:rPr>
              <w:t>Data orzeczenia</w:t>
            </w:r>
          </w:p>
        </w:tc>
        <w:tc>
          <w:tcPr>
            <w:tcW w:w="7477" w:type="dxa"/>
            <w:tcBorders>
              <w:top w:val="single" w:sz="12" w:space="0" w:color="000000"/>
              <w:left w:val="single" w:sz="2" w:space="0" w:color="C0C0C0"/>
              <w:bottom w:val="nil"/>
              <w:right w:val="nil"/>
            </w:tcBorders>
            <w:shd w:val="clear" w:color="auto" w:fill="FFFFFF"/>
            <w:tcMar>
              <w:top w:w="50" w:type="dxa"/>
              <w:left w:w="50" w:type="dxa"/>
              <w:bottom w:w="50" w:type="dxa"/>
              <w:right w:w="50" w:type="dxa"/>
            </w:tcMar>
          </w:tcPr>
          <w:p w:rsidR="00232DC9" w:rsidRDefault="00232DC9" w:rsidP="00C761DA">
            <w:pPr>
              <w:rPr>
                <w:rFonts w:ascii="Helvetica" w:hAnsi="Helvetica" w:cs="Helvetica"/>
                <w:color w:val="auto"/>
                <w:sz w:val="18"/>
                <w:szCs w:val="18"/>
              </w:rPr>
            </w:pPr>
            <w:r>
              <w:rPr>
                <w:rFonts w:ascii="Helvetica" w:hAnsi="Helvetica" w:cs="Helvetica"/>
                <w:color w:val="auto"/>
                <w:sz w:val="18"/>
                <w:szCs w:val="18"/>
              </w:rPr>
              <w:t>2020-04-24</w:t>
            </w:r>
          </w:p>
        </w:tc>
      </w:tr>
      <w:tr w:rsidR="00232DC9" w:rsidTr="00C761DA">
        <w:tc>
          <w:tcPr>
            <w:tcW w:w="1869" w:type="dxa"/>
            <w:tcBorders>
              <w:top w:val="single" w:sz="2" w:space="0" w:color="C0C0C0"/>
              <w:left w:val="single" w:sz="2" w:space="0" w:color="C0C0C0"/>
              <w:bottom w:val="nil"/>
              <w:right w:val="nil"/>
            </w:tcBorders>
            <w:shd w:val="clear" w:color="auto" w:fill="FFFFFF"/>
            <w:tcMar>
              <w:top w:w="50" w:type="dxa"/>
              <w:left w:w="50" w:type="dxa"/>
              <w:bottom w:w="50" w:type="dxa"/>
              <w:right w:w="50" w:type="dxa"/>
            </w:tcMar>
          </w:tcPr>
          <w:p w:rsidR="00232DC9" w:rsidRDefault="00232DC9" w:rsidP="00C761DA">
            <w:pPr>
              <w:rPr>
                <w:rFonts w:ascii="Helvetica" w:hAnsi="Helvetica" w:cs="Helvetica"/>
                <w:color w:val="auto"/>
                <w:sz w:val="18"/>
                <w:szCs w:val="18"/>
              </w:rPr>
            </w:pPr>
            <w:r>
              <w:rPr>
                <w:rFonts w:ascii="Helvetica" w:hAnsi="Helvetica" w:cs="Helvetica"/>
                <w:b/>
                <w:bCs/>
                <w:color w:val="auto"/>
                <w:sz w:val="18"/>
                <w:szCs w:val="18"/>
              </w:rPr>
              <w:t>Data wpływu</w:t>
            </w:r>
          </w:p>
        </w:tc>
        <w:tc>
          <w:tcPr>
            <w:tcW w:w="7477" w:type="dxa"/>
            <w:tcBorders>
              <w:top w:val="single" w:sz="2" w:space="0" w:color="C0C0C0"/>
              <w:left w:val="single" w:sz="2" w:space="0" w:color="C0C0C0"/>
              <w:bottom w:val="nil"/>
              <w:right w:val="nil"/>
            </w:tcBorders>
            <w:shd w:val="clear" w:color="auto" w:fill="FFFFFF"/>
            <w:tcMar>
              <w:top w:w="50" w:type="dxa"/>
              <w:left w:w="50" w:type="dxa"/>
              <w:bottom w:w="50" w:type="dxa"/>
              <w:right w:w="50" w:type="dxa"/>
            </w:tcMar>
          </w:tcPr>
          <w:p w:rsidR="00232DC9" w:rsidRDefault="00232DC9" w:rsidP="00C761DA">
            <w:pPr>
              <w:rPr>
                <w:rFonts w:ascii="Helvetica" w:hAnsi="Helvetica" w:cs="Helvetica"/>
                <w:color w:val="auto"/>
                <w:sz w:val="18"/>
                <w:szCs w:val="18"/>
              </w:rPr>
            </w:pPr>
            <w:r>
              <w:rPr>
                <w:rFonts w:ascii="Helvetica" w:hAnsi="Helvetica" w:cs="Helvetica"/>
                <w:color w:val="auto"/>
                <w:sz w:val="18"/>
                <w:szCs w:val="18"/>
              </w:rPr>
              <w:t>2020-03-26</w:t>
            </w:r>
          </w:p>
        </w:tc>
      </w:tr>
      <w:tr w:rsidR="00232DC9" w:rsidTr="00C761DA">
        <w:tc>
          <w:tcPr>
            <w:tcW w:w="1869" w:type="dxa"/>
            <w:tcBorders>
              <w:top w:val="single" w:sz="2" w:space="0" w:color="C0C0C0"/>
              <w:left w:val="single" w:sz="2" w:space="0" w:color="C0C0C0"/>
              <w:bottom w:val="nil"/>
              <w:right w:val="nil"/>
            </w:tcBorders>
            <w:shd w:val="clear" w:color="auto" w:fill="FFFFFF"/>
            <w:tcMar>
              <w:top w:w="50" w:type="dxa"/>
              <w:left w:w="50" w:type="dxa"/>
              <w:bottom w:w="50" w:type="dxa"/>
              <w:right w:w="50" w:type="dxa"/>
            </w:tcMar>
          </w:tcPr>
          <w:p w:rsidR="00232DC9" w:rsidRDefault="00232DC9" w:rsidP="00C761DA">
            <w:pPr>
              <w:rPr>
                <w:rFonts w:ascii="Helvetica" w:hAnsi="Helvetica" w:cs="Helvetica"/>
                <w:color w:val="auto"/>
                <w:sz w:val="18"/>
                <w:szCs w:val="18"/>
              </w:rPr>
            </w:pPr>
            <w:r>
              <w:rPr>
                <w:rFonts w:ascii="Helvetica" w:hAnsi="Helvetica" w:cs="Helvetica"/>
                <w:b/>
                <w:bCs/>
                <w:color w:val="auto"/>
                <w:sz w:val="18"/>
                <w:szCs w:val="18"/>
              </w:rPr>
              <w:t>Sąd</w:t>
            </w:r>
          </w:p>
        </w:tc>
        <w:tc>
          <w:tcPr>
            <w:tcW w:w="7477" w:type="dxa"/>
            <w:tcBorders>
              <w:top w:val="single" w:sz="2" w:space="0" w:color="C0C0C0"/>
              <w:left w:val="single" w:sz="2" w:space="0" w:color="C0C0C0"/>
              <w:bottom w:val="nil"/>
              <w:right w:val="nil"/>
            </w:tcBorders>
            <w:shd w:val="clear" w:color="auto" w:fill="FFFFFF"/>
            <w:tcMar>
              <w:top w:w="50" w:type="dxa"/>
              <w:left w:w="50" w:type="dxa"/>
              <w:bottom w:w="50" w:type="dxa"/>
              <w:right w:w="50" w:type="dxa"/>
            </w:tcMar>
          </w:tcPr>
          <w:p w:rsidR="00232DC9" w:rsidRDefault="00232DC9" w:rsidP="00C761DA">
            <w:pPr>
              <w:rPr>
                <w:rFonts w:ascii="Helvetica" w:hAnsi="Helvetica" w:cs="Helvetica"/>
                <w:color w:val="auto"/>
                <w:sz w:val="18"/>
                <w:szCs w:val="18"/>
              </w:rPr>
            </w:pPr>
            <w:r>
              <w:rPr>
                <w:rFonts w:ascii="Helvetica" w:hAnsi="Helvetica" w:cs="Helvetica"/>
                <w:color w:val="auto"/>
                <w:sz w:val="18"/>
                <w:szCs w:val="18"/>
              </w:rPr>
              <w:t>Wojewódzki Sąd Administracyjny w Gdańsku</w:t>
            </w:r>
          </w:p>
        </w:tc>
      </w:tr>
      <w:tr w:rsidR="00232DC9" w:rsidTr="00C761DA">
        <w:tc>
          <w:tcPr>
            <w:tcW w:w="1869" w:type="dxa"/>
            <w:tcBorders>
              <w:top w:val="single" w:sz="2" w:space="0" w:color="C0C0C0"/>
              <w:left w:val="single" w:sz="2" w:space="0" w:color="C0C0C0"/>
              <w:bottom w:val="nil"/>
              <w:right w:val="nil"/>
            </w:tcBorders>
            <w:shd w:val="clear" w:color="auto" w:fill="FFFFFF"/>
            <w:tcMar>
              <w:top w:w="50" w:type="dxa"/>
              <w:left w:w="50" w:type="dxa"/>
              <w:bottom w:w="50" w:type="dxa"/>
              <w:right w:w="50" w:type="dxa"/>
            </w:tcMar>
          </w:tcPr>
          <w:p w:rsidR="00232DC9" w:rsidRDefault="00232DC9" w:rsidP="00C761DA">
            <w:pPr>
              <w:rPr>
                <w:rFonts w:ascii="Helvetica" w:hAnsi="Helvetica" w:cs="Helvetica"/>
                <w:color w:val="auto"/>
                <w:sz w:val="18"/>
                <w:szCs w:val="18"/>
              </w:rPr>
            </w:pPr>
            <w:r>
              <w:rPr>
                <w:rFonts w:ascii="Helvetica" w:hAnsi="Helvetica" w:cs="Helvetica"/>
                <w:b/>
                <w:bCs/>
                <w:color w:val="auto"/>
                <w:sz w:val="18"/>
                <w:szCs w:val="18"/>
              </w:rPr>
              <w:t>Sędziowie</w:t>
            </w:r>
          </w:p>
        </w:tc>
        <w:tc>
          <w:tcPr>
            <w:tcW w:w="7477" w:type="dxa"/>
            <w:tcBorders>
              <w:top w:val="single" w:sz="2" w:space="0" w:color="C0C0C0"/>
              <w:left w:val="single" w:sz="2" w:space="0" w:color="C0C0C0"/>
              <w:bottom w:val="nil"/>
              <w:right w:val="nil"/>
            </w:tcBorders>
            <w:shd w:val="clear" w:color="auto" w:fill="FFFFFF"/>
            <w:tcMar>
              <w:top w:w="50" w:type="dxa"/>
              <w:left w:w="50" w:type="dxa"/>
              <w:bottom w:w="50" w:type="dxa"/>
              <w:right w:w="50" w:type="dxa"/>
            </w:tcMar>
          </w:tcPr>
          <w:p w:rsidR="00232DC9" w:rsidRDefault="00232DC9" w:rsidP="00C761DA">
            <w:pPr>
              <w:rPr>
                <w:rFonts w:ascii="Helvetica" w:hAnsi="Helvetica" w:cs="Helvetica"/>
                <w:color w:val="auto"/>
                <w:sz w:val="18"/>
                <w:szCs w:val="18"/>
              </w:rPr>
            </w:pPr>
            <w:r>
              <w:rPr>
                <w:rFonts w:ascii="Helvetica" w:hAnsi="Helvetica" w:cs="Helvetica"/>
                <w:color w:val="auto"/>
                <w:sz w:val="18"/>
                <w:szCs w:val="18"/>
              </w:rPr>
              <w:t>Jacek Hyla /przewodniczący/</w:t>
            </w:r>
          </w:p>
          <w:p w:rsidR="00232DC9" w:rsidRDefault="00232DC9" w:rsidP="00C761DA">
            <w:pPr>
              <w:rPr>
                <w:rFonts w:ascii="Helvetica" w:hAnsi="Helvetica" w:cs="Helvetica"/>
                <w:color w:val="auto"/>
                <w:sz w:val="18"/>
                <w:szCs w:val="18"/>
              </w:rPr>
            </w:pPr>
            <w:r>
              <w:rPr>
                <w:rFonts w:ascii="Helvetica" w:hAnsi="Helvetica" w:cs="Helvetica"/>
                <w:color w:val="auto"/>
                <w:sz w:val="18"/>
                <w:szCs w:val="18"/>
              </w:rPr>
              <w:t>Jolanta Sudoł</w:t>
            </w:r>
          </w:p>
          <w:p w:rsidR="00232DC9" w:rsidRDefault="00232DC9" w:rsidP="00C761DA">
            <w:pPr>
              <w:rPr>
                <w:rFonts w:ascii="Helvetica" w:hAnsi="Helvetica" w:cs="Helvetica"/>
                <w:color w:val="auto"/>
                <w:sz w:val="18"/>
                <w:szCs w:val="18"/>
              </w:rPr>
            </w:pPr>
            <w:r>
              <w:rPr>
                <w:rFonts w:ascii="Helvetica" w:hAnsi="Helvetica" w:cs="Helvetica"/>
                <w:color w:val="auto"/>
                <w:sz w:val="18"/>
                <w:szCs w:val="18"/>
              </w:rPr>
              <w:t>Paweł Mierzejewski /sprawozdawca/</w:t>
            </w:r>
          </w:p>
        </w:tc>
      </w:tr>
      <w:tr w:rsidR="00232DC9" w:rsidTr="00C761DA">
        <w:tc>
          <w:tcPr>
            <w:tcW w:w="1869" w:type="dxa"/>
            <w:tcBorders>
              <w:top w:val="single" w:sz="2" w:space="0" w:color="C0C0C0"/>
              <w:left w:val="single" w:sz="2" w:space="0" w:color="C0C0C0"/>
              <w:bottom w:val="nil"/>
              <w:right w:val="nil"/>
            </w:tcBorders>
            <w:shd w:val="clear" w:color="auto" w:fill="FFFFFF"/>
            <w:tcMar>
              <w:top w:w="50" w:type="dxa"/>
              <w:left w:w="50" w:type="dxa"/>
              <w:bottom w:w="50" w:type="dxa"/>
              <w:right w:w="50" w:type="dxa"/>
            </w:tcMar>
          </w:tcPr>
          <w:p w:rsidR="00232DC9" w:rsidRDefault="00232DC9" w:rsidP="00C761DA">
            <w:pPr>
              <w:rPr>
                <w:rFonts w:ascii="Helvetica" w:hAnsi="Helvetica" w:cs="Helvetica"/>
                <w:color w:val="auto"/>
                <w:sz w:val="18"/>
                <w:szCs w:val="18"/>
              </w:rPr>
            </w:pPr>
            <w:r>
              <w:rPr>
                <w:rFonts w:ascii="Helvetica" w:hAnsi="Helvetica" w:cs="Helvetica"/>
                <w:b/>
                <w:bCs/>
                <w:color w:val="auto"/>
                <w:sz w:val="18"/>
                <w:szCs w:val="18"/>
              </w:rPr>
              <w:t>Symbol z opisem</w:t>
            </w:r>
          </w:p>
        </w:tc>
        <w:tc>
          <w:tcPr>
            <w:tcW w:w="7477" w:type="dxa"/>
            <w:tcBorders>
              <w:top w:val="single" w:sz="2" w:space="0" w:color="C0C0C0"/>
              <w:left w:val="single" w:sz="2" w:space="0" w:color="C0C0C0"/>
              <w:bottom w:val="nil"/>
              <w:right w:val="nil"/>
            </w:tcBorders>
            <w:shd w:val="clear" w:color="auto" w:fill="FFFFFF"/>
            <w:tcMar>
              <w:top w:w="50" w:type="dxa"/>
              <w:left w:w="50" w:type="dxa"/>
              <w:bottom w:w="50" w:type="dxa"/>
              <w:right w:w="50" w:type="dxa"/>
            </w:tcMar>
          </w:tcPr>
          <w:p w:rsidR="00232DC9" w:rsidRDefault="00232DC9" w:rsidP="00C761DA">
            <w:pPr>
              <w:rPr>
                <w:rFonts w:ascii="Helvetica" w:hAnsi="Helvetica" w:cs="Helvetica"/>
                <w:color w:val="auto"/>
                <w:sz w:val="18"/>
                <w:szCs w:val="18"/>
              </w:rPr>
            </w:pPr>
            <w:r>
              <w:rPr>
                <w:rFonts w:ascii="Helvetica" w:hAnsi="Helvetica" w:cs="Helvetica"/>
                <w:color w:val="auto"/>
                <w:sz w:val="18"/>
                <w:szCs w:val="18"/>
              </w:rPr>
              <w:t>6192 Funkcjonariusze Policji</w:t>
            </w:r>
          </w:p>
          <w:p w:rsidR="00232DC9" w:rsidRDefault="00232DC9" w:rsidP="00C761DA">
            <w:pPr>
              <w:rPr>
                <w:rFonts w:ascii="Helvetica" w:hAnsi="Helvetica" w:cs="Helvetica"/>
                <w:color w:val="auto"/>
                <w:sz w:val="18"/>
                <w:szCs w:val="18"/>
              </w:rPr>
            </w:pPr>
            <w:r>
              <w:rPr>
                <w:rFonts w:ascii="Helvetica" w:hAnsi="Helvetica" w:cs="Helvetica"/>
                <w:color w:val="auto"/>
                <w:sz w:val="18"/>
                <w:szCs w:val="18"/>
              </w:rPr>
              <w:t>658</w:t>
            </w:r>
          </w:p>
        </w:tc>
      </w:tr>
      <w:tr w:rsidR="00232DC9" w:rsidTr="00C761DA">
        <w:tc>
          <w:tcPr>
            <w:tcW w:w="1869" w:type="dxa"/>
            <w:tcBorders>
              <w:top w:val="single" w:sz="2" w:space="0" w:color="C0C0C0"/>
              <w:left w:val="single" w:sz="2" w:space="0" w:color="C0C0C0"/>
              <w:bottom w:val="nil"/>
              <w:right w:val="nil"/>
            </w:tcBorders>
            <w:shd w:val="clear" w:color="auto" w:fill="FFFFFF"/>
            <w:tcMar>
              <w:top w:w="50" w:type="dxa"/>
              <w:left w:w="50" w:type="dxa"/>
              <w:bottom w:w="50" w:type="dxa"/>
              <w:right w:w="50" w:type="dxa"/>
            </w:tcMar>
          </w:tcPr>
          <w:p w:rsidR="00232DC9" w:rsidRDefault="00232DC9" w:rsidP="00C761DA">
            <w:pPr>
              <w:rPr>
                <w:rFonts w:ascii="Helvetica" w:hAnsi="Helvetica" w:cs="Helvetica"/>
                <w:color w:val="auto"/>
                <w:sz w:val="18"/>
                <w:szCs w:val="18"/>
              </w:rPr>
            </w:pPr>
            <w:r>
              <w:rPr>
                <w:rFonts w:ascii="Helvetica" w:hAnsi="Helvetica" w:cs="Helvetica"/>
                <w:b/>
                <w:bCs/>
                <w:color w:val="auto"/>
                <w:sz w:val="18"/>
                <w:szCs w:val="18"/>
              </w:rPr>
              <w:t>Hasła tematyczne</w:t>
            </w:r>
          </w:p>
        </w:tc>
        <w:tc>
          <w:tcPr>
            <w:tcW w:w="7477" w:type="dxa"/>
            <w:tcBorders>
              <w:top w:val="single" w:sz="2" w:space="0" w:color="C0C0C0"/>
              <w:left w:val="single" w:sz="2" w:space="0" w:color="C0C0C0"/>
              <w:bottom w:val="nil"/>
              <w:right w:val="nil"/>
            </w:tcBorders>
            <w:shd w:val="clear" w:color="auto" w:fill="FFFFFF"/>
            <w:tcMar>
              <w:top w:w="50" w:type="dxa"/>
              <w:left w:w="50" w:type="dxa"/>
              <w:bottom w:w="50" w:type="dxa"/>
              <w:right w:w="50" w:type="dxa"/>
            </w:tcMar>
          </w:tcPr>
          <w:p w:rsidR="00232DC9" w:rsidRDefault="00232DC9" w:rsidP="00C761DA">
            <w:pPr>
              <w:rPr>
                <w:rFonts w:ascii="Helvetica" w:hAnsi="Helvetica" w:cs="Helvetica"/>
                <w:color w:val="auto"/>
                <w:sz w:val="18"/>
                <w:szCs w:val="18"/>
              </w:rPr>
            </w:pPr>
            <w:r>
              <w:rPr>
                <w:rFonts w:ascii="Helvetica" w:hAnsi="Helvetica" w:cs="Helvetica"/>
                <w:color w:val="auto"/>
                <w:sz w:val="18"/>
                <w:szCs w:val="18"/>
              </w:rPr>
              <w:t>Policja</w:t>
            </w:r>
          </w:p>
        </w:tc>
      </w:tr>
      <w:tr w:rsidR="00232DC9" w:rsidTr="00C761DA">
        <w:tc>
          <w:tcPr>
            <w:tcW w:w="1869" w:type="dxa"/>
            <w:tcBorders>
              <w:top w:val="single" w:sz="2" w:space="0" w:color="C0C0C0"/>
              <w:left w:val="single" w:sz="2" w:space="0" w:color="C0C0C0"/>
              <w:bottom w:val="nil"/>
              <w:right w:val="nil"/>
            </w:tcBorders>
            <w:shd w:val="clear" w:color="auto" w:fill="FFFFFF"/>
            <w:tcMar>
              <w:top w:w="50" w:type="dxa"/>
              <w:left w:w="50" w:type="dxa"/>
              <w:bottom w:w="50" w:type="dxa"/>
              <w:right w:w="50" w:type="dxa"/>
            </w:tcMar>
          </w:tcPr>
          <w:p w:rsidR="00232DC9" w:rsidRDefault="00232DC9" w:rsidP="00C761DA">
            <w:pPr>
              <w:rPr>
                <w:rFonts w:ascii="Helvetica" w:hAnsi="Helvetica" w:cs="Helvetica"/>
                <w:color w:val="auto"/>
                <w:sz w:val="18"/>
                <w:szCs w:val="18"/>
              </w:rPr>
            </w:pPr>
            <w:r>
              <w:rPr>
                <w:rFonts w:ascii="Helvetica" w:hAnsi="Helvetica" w:cs="Helvetica"/>
                <w:b/>
                <w:bCs/>
                <w:color w:val="auto"/>
                <w:sz w:val="18"/>
                <w:szCs w:val="18"/>
              </w:rPr>
              <w:t>Skarżony organ</w:t>
            </w:r>
          </w:p>
        </w:tc>
        <w:tc>
          <w:tcPr>
            <w:tcW w:w="7477" w:type="dxa"/>
            <w:tcBorders>
              <w:top w:val="single" w:sz="2" w:space="0" w:color="C0C0C0"/>
              <w:left w:val="single" w:sz="2" w:space="0" w:color="C0C0C0"/>
              <w:bottom w:val="nil"/>
              <w:right w:val="nil"/>
            </w:tcBorders>
            <w:shd w:val="clear" w:color="auto" w:fill="FFFFFF"/>
            <w:tcMar>
              <w:top w:w="50" w:type="dxa"/>
              <w:left w:w="50" w:type="dxa"/>
              <w:bottom w:w="50" w:type="dxa"/>
              <w:right w:w="50" w:type="dxa"/>
            </w:tcMar>
          </w:tcPr>
          <w:p w:rsidR="00232DC9" w:rsidRDefault="00232DC9" w:rsidP="00C761DA">
            <w:pPr>
              <w:rPr>
                <w:rFonts w:ascii="Helvetica" w:hAnsi="Helvetica" w:cs="Helvetica"/>
                <w:color w:val="auto"/>
                <w:sz w:val="18"/>
                <w:szCs w:val="18"/>
              </w:rPr>
            </w:pPr>
            <w:r>
              <w:rPr>
                <w:rFonts w:ascii="Helvetica" w:hAnsi="Helvetica" w:cs="Helvetica"/>
                <w:color w:val="auto"/>
                <w:sz w:val="18"/>
                <w:szCs w:val="18"/>
              </w:rPr>
              <w:t>Komendant Policji</w:t>
            </w:r>
          </w:p>
        </w:tc>
      </w:tr>
      <w:tr w:rsidR="00232DC9" w:rsidTr="00C761DA">
        <w:tc>
          <w:tcPr>
            <w:tcW w:w="1869" w:type="dxa"/>
            <w:tcBorders>
              <w:top w:val="single" w:sz="2" w:space="0" w:color="C0C0C0"/>
              <w:left w:val="single" w:sz="2" w:space="0" w:color="C0C0C0"/>
              <w:bottom w:val="nil"/>
              <w:right w:val="nil"/>
            </w:tcBorders>
            <w:shd w:val="clear" w:color="auto" w:fill="FFFFFF"/>
            <w:tcMar>
              <w:top w:w="50" w:type="dxa"/>
              <w:left w:w="50" w:type="dxa"/>
              <w:bottom w:w="50" w:type="dxa"/>
              <w:right w:w="50" w:type="dxa"/>
            </w:tcMar>
          </w:tcPr>
          <w:p w:rsidR="00232DC9" w:rsidRDefault="00232DC9" w:rsidP="00C761DA">
            <w:pPr>
              <w:rPr>
                <w:rFonts w:ascii="Helvetica" w:hAnsi="Helvetica" w:cs="Helvetica"/>
                <w:color w:val="auto"/>
                <w:sz w:val="18"/>
                <w:szCs w:val="18"/>
              </w:rPr>
            </w:pPr>
            <w:r>
              <w:rPr>
                <w:rFonts w:ascii="Helvetica" w:hAnsi="Helvetica" w:cs="Helvetica"/>
                <w:b/>
                <w:bCs/>
                <w:color w:val="auto"/>
                <w:sz w:val="18"/>
                <w:szCs w:val="18"/>
              </w:rPr>
              <w:t>Treść wyniku</w:t>
            </w:r>
          </w:p>
        </w:tc>
        <w:tc>
          <w:tcPr>
            <w:tcW w:w="7477" w:type="dxa"/>
            <w:tcBorders>
              <w:top w:val="single" w:sz="2" w:space="0" w:color="C0C0C0"/>
              <w:left w:val="single" w:sz="2" w:space="0" w:color="C0C0C0"/>
              <w:bottom w:val="nil"/>
              <w:right w:val="nil"/>
            </w:tcBorders>
            <w:shd w:val="clear" w:color="auto" w:fill="FFFFFF"/>
            <w:tcMar>
              <w:top w:w="50" w:type="dxa"/>
              <w:left w:w="50" w:type="dxa"/>
              <w:bottom w:w="50" w:type="dxa"/>
              <w:right w:w="50" w:type="dxa"/>
            </w:tcMar>
          </w:tcPr>
          <w:p w:rsidR="00232DC9" w:rsidRDefault="00232DC9" w:rsidP="00C761DA">
            <w:pPr>
              <w:rPr>
                <w:rFonts w:ascii="Helvetica" w:hAnsi="Helvetica" w:cs="Helvetica"/>
                <w:color w:val="auto"/>
                <w:sz w:val="18"/>
                <w:szCs w:val="18"/>
              </w:rPr>
            </w:pPr>
            <w:r>
              <w:rPr>
                <w:rFonts w:ascii="Helvetica" w:hAnsi="Helvetica" w:cs="Helvetica"/>
                <w:color w:val="auto"/>
                <w:sz w:val="18"/>
                <w:szCs w:val="18"/>
              </w:rPr>
              <w:t>Zobowiązano do dokonania czynności</w:t>
            </w:r>
          </w:p>
        </w:tc>
      </w:tr>
      <w:tr w:rsidR="00232DC9" w:rsidTr="00C761DA">
        <w:tc>
          <w:tcPr>
            <w:tcW w:w="1869" w:type="dxa"/>
            <w:tcBorders>
              <w:top w:val="single" w:sz="2" w:space="0" w:color="C0C0C0"/>
              <w:left w:val="single" w:sz="2" w:space="0" w:color="C0C0C0"/>
              <w:bottom w:val="nil"/>
              <w:right w:val="nil"/>
            </w:tcBorders>
            <w:shd w:val="clear" w:color="auto" w:fill="FFFFFF"/>
            <w:tcMar>
              <w:top w:w="50" w:type="dxa"/>
              <w:left w:w="50" w:type="dxa"/>
              <w:bottom w:w="50" w:type="dxa"/>
              <w:right w:w="50" w:type="dxa"/>
            </w:tcMar>
          </w:tcPr>
          <w:p w:rsidR="00232DC9" w:rsidRDefault="00232DC9" w:rsidP="00C761DA">
            <w:pPr>
              <w:rPr>
                <w:rFonts w:ascii="Helvetica" w:hAnsi="Helvetica" w:cs="Helvetica"/>
                <w:color w:val="auto"/>
                <w:sz w:val="18"/>
                <w:szCs w:val="18"/>
              </w:rPr>
            </w:pPr>
            <w:r>
              <w:rPr>
                <w:rFonts w:ascii="Helvetica" w:hAnsi="Helvetica" w:cs="Helvetica"/>
                <w:b/>
                <w:bCs/>
                <w:color w:val="auto"/>
                <w:sz w:val="18"/>
                <w:szCs w:val="18"/>
              </w:rPr>
              <w:t>Powołane przepisy</w:t>
            </w:r>
          </w:p>
        </w:tc>
        <w:tc>
          <w:tcPr>
            <w:tcW w:w="7477" w:type="dxa"/>
            <w:tcBorders>
              <w:top w:val="single" w:sz="2" w:space="0" w:color="C0C0C0"/>
              <w:left w:val="single" w:sz="2" w:space="0" w:color="C0C0C0"/>
              <w:bottom w:val="nil"/>
              <w:right w:val="nil"/>
            </w:tcBorders>
            <w:shd w:val="clear" w:color="auto" w:fill="FFFFFF"/>
            <w:tcMar>
              <w:top w:w="50" w:type="dxa"/>
              <w:left w:w="50" w:type="dxa"/>
              <w:bottom w:w="50" w:type="dxa"/>
              <w:right w:w="50" w:type="dxa"/>
            </w:tcMar>
          </w:tcPr>
          <w:p w:rsidR="00232DC9" w:rsidRDefault="00232DC9" w:rsidP="00C761DA">
            <w:pPr>
              <w:rPr>
                <w:rFonts w:ascii="Helvetica" w:hAnsi="Helvetica" w:cs="Helvetica"/>
                <w:color w:val="auto"/>
                <w:sz w:val="18"/>
                <w:szCs w:val="18"/>
              </w:rPr>
            </w:pPr>
            <w:r>
              <w:rPr>
                <w:rFonts w:ascii="Helvetica" w:hAnsi="Helvetica" w:cs="Helvetica"/>
                <w:color w:val="auto"/>
                <w:sz w:val="18"/>
                <w:szCs w:val="18"/>
              </w:rPr>
              <w:t>Dz.U. 2018 nr 0 poz 2096; art. 35 par. 3 k.p.a.; Ustawa z dnia 14 czerwca 1960 r. Kodeks postępowania administracyjnego - tekst jedn.</w:t>
            </w:r>
          </w:p>
          <w:p w:rsidR="00232DC9" w:rsidRDefault="00232DC9" w:rsidP="00C761DA">
            <w:pPr>
              <w:rPr>
                <w:rFonts w:ascii="Helvetica" w:hAnsi="Helvetica" w:cs="Helvetica"/>
                <w:color w:val="auto"/>
                <w:sz w:val="18"/>
                <w:szCs w:val="18"/>
              </w:rPr>
            </w:pPr>
            <w:r>
              <w:rPr>
                <w:rFonts w:ascii="Helvetica" w:hAnsi="Helvetica" w:cs="Helvetica"/>
                <w:color w:val="auto"/>
                <w:sz w:val="18"/>
                <w:szCs w:val="18"/>
              </w:rPr>
              <w:t>Dz.U. 2019 nr 0 poz 2325; art. 149 par. 1 pkt 1, i par. 1 a; Ustawa z dnia 30 sierpnia 2002 r. Prawo o postępowaniu przed sądami administracyjnymi - t.j.</w:t>
            </w:r>
          </w:p>
        </w:tc>
      </w:tr>
      <w:tr w:rsidR="00232DC9" w:rsidTr="00C761DA">
        <w:tc>
          <w:tcPr>
            <w:tcW w:w="9346" w:type="dxa"/>
            <w:gridSpan w:val="2"/>
            <w:tcBorders>
              <w:top w:val="single" w:sz="2" w:space="0" w:color="C0C0C0"/>
              <w:left w:val="single" w:sz="2" w:space="0" w:color="C0C0C0"/>
              <w:bottom w:val="nil"/>
              <w:right w:val="nil"/>
            </w:tcBorders>
            <w:shd w:val="clear" w:color="auto" w:fill="FFFFFF"/>
            <w:tcMar>
              <w:top w:w="50" w:type="dxa"/>
              <w:left w:w="50" w:type="dxa"/>
              <w:bottom w:w="50" w:type="dxa"/>
              <w:right w:w="50" w:type="dxa"/>
            </w:tcMar>
          </w:tcPr>
          <w:p w:rsidR="00232DC9" w:rsidRDefault="00232DC9" w:rsidP="00C761DA">
            <w:pPr>
              <w:rPr>
                <w:rFonts w:ascii="Helvetica" w:hAnsi="Helvetica" w:cs="Helvetica"/>
                <w:color w:val="auto"/>
                <w:sz w:val="18"/>
                <w:szCs w:val="18"/>
              </w:rPr>
            </w:pPr>
            <w:r>
              <w:rPr>
                <w:rFonts w:ascii="Helvetica" w:hAnsi="Helvetica" w:cs="Helvetica"/>
                <w:b/>
                <w:bCs/>
                <w:color w:val="auto"/>
                <w:sz w:val="18"/>
                <w:szCs w:val="18"/>
              </w:rPr>
              <w:t>Sentencja</w:t>
            </w:r>
          </w:p>
          <w:p w:rsidR="00232DC9" w:rsidRDefault="00232DC9" w:rsidP="00C761DA">
            <w:pPr>
              <w:rPr>
                <w:rFonts w:ascii="Helvetica" w:hAnsi="Helvetica" w:cs="Helvetica"/>
                <w:color w:val="auto"/>
              </w:rPr>
            </w:pPr>
            <w:r>
              <w:rPr>
                <w:rFonts w:ascii="Helvetica" w:hAnsi="Helvetica" w:cs="Helvetica"/>
                <w:color w:val="auto"/>
                <w:sz w:val="22"/>
                <w:szCs w:val="22"/>
              </w:rPr>
              <w:t xml:space="preserve">Wojewódzki Sąd Administracyjny w Gdańsku w składzie następującym: Przewodniczący: Sędzia NSA Jacek Hyla Sędziowie: Sędzia WSA Jolanta Sudoł Sędzia WSA Paweł Mierzejewski (spr.) po rozpoznaniu na posiedzeniu niejawnym w trybie uproszczonym w dniu 24 kwietnia 2020 r. sprawy ze skargi M. K. na bezczynność Komendanta Wojewódzkiego Policji w G. w przedmiocie rozpatrzenia wniosku dotyczącego wypłaty ekwiwalentu za niewykorzystany urlop wypoczynkowy </w:t>
            </w:r>
            <w:r w:rsidRPr="00806255">
              <w:rPr>
                <w:rFonts w:ascii="Helvetica" w:hAnsi="Helvetica" w:cs="Helvetica"/>
                <w:color w:val="auto"/>
                <w:sz w:val="22"/>
                <w:szCs w:val="22"/>
                <w:highlight w:val="yellow"/>
              </w:rPr>
              <w:t>1. zobowiązuje Komendanta Wojewódzkiego Policji w G. do rozpatrzenia wniosku skarżącego M. K. w terminie 30 dni od dnia otrzymania przez organ odpisu prawomocnego wyroku wraz z aktami;</w:t>
            </w:r>
            <w:r>
              <w:rPr>
                <w:rFonts w:ascii="Helvetica" w:hAnsi="Helvetica" w:cs="Helvetica"/>
                <w:color w:val="auto"/>
                <w:sz w:val="22"/>
                <w:szCs w:val="22"/>
              </w:rPr>
              <w:t xml:space="preserve"> 2. stwierdza, że bezczynność organu nie miała miejsca z rażącym naruszeniem prawa.</w:t>
            </w:r>
          </w:p>
        </w:tc>
      </w:tr>
      <w:tr w:rsidR="00232DC9" w:rsidTr="00C761DA">
        <w:tc>
          <w:tcPr>
            <w:tcW w:w="9346" w:type="dxa"/>
            <w:gridSpan w:val="2"/>
            <w:tcBorders>
              <w:top w:val="single" w:sz="2" w:space="0" w:color="C0C0C0"/>
              <w:left w:val="single" w:sz="2" w:space="0" w:color="C0C0C0"/>
              <w:bottom w:val="nil"/>
              <w:right w:val="nil"/>
            </w:tcBorders>
            <w:shd w:val="clear" w:color="auto" w:fill="FFFFFF"/>
            <w:tcMar>
              <w:top w:w="50" w:type="dxa"/>
              <w:left w:w="50" w:type="dxa"/>
              <w:bottom w:w="50" w:type="dxa"/>
              <w:right w:w="50" w:type="dxa"/>
            </w:tcMar>
          </w:tcPr>
          <w:p w:rsidR="00232DC9" w:rsidRDefault="00232DC9" w:rsidP="00C761DA">
            <w:pPr>
              <w:rPr>
                <w:rFonts w:ascii="Helvetica" w:hAnsi="Helvetica" w:cs="Helvetica"/>
                <w:color w:val="auto"/>
                <w:sz w:val="18"/>
                <w:szCs w:val="18"/>
              </w:rPr>
            </w:pPr>
            <w:r>
              <w:rPr>
                <w:rFonts w:ascii="Helvetica" w:hAnsi="Helvetica" w:cs="Helvetica"/>
                <w:b/>
                <w:bCs/>
                <w:color w:val="auto"/>
                <w:sz w:val="18"/>
                <w:szCs w:val="18"/>
              </w:rPr>
              <w:t>Uzasadnienie</w:t>
            </w:r>
          </w:p>
          <w:p w:rsidR="00232DC9" w:rsidRDefault="00232DC9" w:rsidP="00C761DA">
            <w:pPr>
              <w:rPr>
                <w:rFonts w:ascii="Helvetica" w:hAnsi="Helvetica" w:cs="Helvetica"/>
                <w:color w:val="auto"/>
              </w:rPr>
            </w:pPr>
            <w:r>
              <w:rPr>
                <w:rFonts w:ascii="Helvetica" w:hAnsi="Helvetica" w:cs="Helvetica"/>
                <w:color w:val="auto"/>
                <w:sz w:val="22"/>
                <w:szCs w:val="22"/>
              </w:rPr>
              <w:t xml:space="preserve">Pismem datowanym na dzień 27 maja 2019 r. M. K. (dalej również jako "wnioskodawca", "strona" albo "skarżący") zwrócił się do Komendy Wojewódzkiej Policji w G. z pytaniem </w:t>
            </w:r>
            <w:r w:rsidRPr="007B6997">
              <w:rPr>
                <w:rFonts w:ascii="Helvetica" w:hAnsi="Helvetica" w:cs="Helvetica"/>
                <w:color w:val="auto"/>
                <w:sz w:val="22"/>
                <w:szCs w:val="22"/>
                <w:highlight w:val="yellow"/>
              </w:rPr>
              <w:t>dlaczego i na jakiej podstawie nie został mu wypłacony ekwiwalent pieniężny</w:t>
            </w:r>
            <w:r>
              <w:rPr>
                <w:rFonts w:ascii="Helvetica" w:hAnsi="Helvetica" w:cs="Helvetica"/>
                <w:color w:val="auto"/>
                <w:sz w:val="22"/>
                <w:szCs w:val="22"/>
              </w:rPr>
              <w:t xml:space="preserve"> za niewykorzystany urlop wypoczynkowy za 2018 i 2019 r. M. K. podkreślił, że zakończył służbę w Policji w związku z przejściem na emeryturę w dniu 30 kwietnia 2019 r., </w:t>
            </w:r>
            <w:r w:rsidRPr="007B6997">
              <w:rPr>
                <w:rFonts w:ascii="Helvetica" w:hAnsi="Helvetica" w:cs="Helvetica"/>
                <w:color w:val="auto"/>
                <w:sz w:val="22"/>
                <w:szCs w:val="22"/>
                <w:highlight w:val="yellow"/>
              </w:rPr>
              <w:t>a w wystawionym świadectwie służby zawarto zapis, że zostanie mu wypłacony należny ekwiwalent pieniężny, co jednak do tej pory nie nastąpiło.</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 xml:space="preserve">W odpowiedzi na wskazane pismo Zastępca Naczelnika Wydziału Finansów Komendy Wojewódzkiej Policji w G. pismem z dnia 14 czerwca 2019 r. poinformował M. K., że w obecnym stanie prawnym brak jest normy ustawowej wprowadzającej prawidłowy mechanizm naliczania ekwiwalentu. Sytuacja ta jest następstwem wyroku Trybunału Konstytucyjnego z dnia 30 października 2018 r. (sygn. akt K 7/15), w którym orzeczono, że art. 115a ustawy z dnia 6 kwietnia 1990 r. o Policji, w zakresie w jakim ustala wysokość ekwiwalentu pieniężnego za 1 dzień niewykorzystanego urlopu wypoczynkowego lub dodatkowego w wymiarze 1/30 części miesięcznego uposażenia jest niezgodny z art. 66 ust. 2 w zw. z art. 31 ust 3 zdanie drugie Konstytucji RP. W ocenie organu zaistniała sytuacja trwać będzie do czasu </w:t>
            </w:r>
            <w:r>
              <w:rPr>
                <w:rFonts w:ascii="Helvetica" w:hAnsi="Helvetica" w:cs="Helvetica"/>
                <w:color w:val="auto"/>
                <w:sz w:val="22"/>
                <w:szCs w:val="22"/>
              </w:rPr>
              <w:lastRenderedPageBreak/>
              <w:t>ustanowienia przez ustawodawcę przepisu prawa, w którym wskazane zostanie, w jaki sposób należy obliczać wysokość ekwiwalentu. Organ zaznaczył jednocześnie, że w związku z trwającymi pracami legislacyjnymi nie jest obecnie możliwe określenie, kiedy projektowane regulacje wejdą w życie.</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Pismem z dnia 6 lipca 2019 r. M. K. wystąpił do Komendanta Wojewódzkiego Policji w G. o wypłatę ekwiwalentu za 22 dni niewykorzystanego urlopu wypoczynkowego za 2018 r., 26 dni urlopu wypoczynkowego za 2019 r. oraz 5 dni niewykorzystanego urlopu dodatkowego za rok 2019 r. Uzasadniając wniesione żądanie M. K. powołał się na wydany w podobnej sprawie wyrok Wojewódzkiego Sądu Administracyjnego w Gdańsku z dnia 23 maja 2019 r. (sygn. akt III SA/Gd 218/19), gdzie orzeczono, że art. 115a ustawy o Policji interpretowany zgodnie z art. 66 ust. 2 Konstytucji RP stanowi wystarczającą podstawę dla rozstrzygnięcia sprawy w przedmiocie wyliczenia i wypłaty ekwiwalentu za niewykorzystany urlop wypoczynkowy.</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Pismo to wpłynęło do Komendanta Wojewódzkiego Policji w G. w dniu 15 lipca 2019 r.</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W odpowiedzi pismem z dnia 31 lipca 2019 r. wnioskodawca został poinformowany, że termin zakończenia postepowania w sprawie ustalono na dzień 30 września 2019 r. zgodnie z przepisem art. 35 § 3 ustawy – Kodeks postępowania administracyjnego ustalającym dla sprawy szczególnie skomplikowanej dwumiesięczny termin dla jej załatwienia. Odnosząc się do wskazanego przez stronę wyroku Wojewódzkiego Sądu Administracyjnego w Gdańsku o sygn. akt III SA/Gd 218/19, podkreślono, że nie jest on prawomocny oraz że nie został wydany w stosunku do M. K., a zatem nie jest dla organu w żaden sposób wiążący.</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Kolejnym pismem z dnia 27 września 2019 r. poinformowano wnioskodawcę, że termin zakończenia postępowania zostaje przesunięty na dzień 31 stycznia 2020 r. oraz, że niezwłocznie po wejściu w życie regulacji określających sposób ustalenia wysokości omawianego ekwiwalentu zostaną podjęte niezbędne działania zmierzające do załatwienia przedmiotowej sprawy, to jest od wypłacenia należnych wnioskodawcy świadczeń.</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Pismem z dnia 10 stycznia 2020 r. M. K. wniósł do Komendanta Wojewódzkiego Policji z G. ponaglenie w trybie art. 37 ustawy – Kodeks postępowania administracyjnego. Wnioskodawca podkreślił, że w jego ocenie brak jest jakichkolwiek przeszkód uniemożliwiających pozytywne załatwienie przedmiotowej sprawy i wypłacenia należnego ekwiwalentu.</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Pismem z dnia 24 stycznia 2020 r. Komendant Wojewódzki Policji w G. poinformował wnioskodawcę, że termin zakończenia postępowania został przesunięty na dzień 30 kwietnia 2020 r. W piśmie tym podtrzymano stanowisko, że wypłata ekwiwalentu będzie możliwa dopiero po wejściu nowych regulacji prawnych, które na nowo określą zasady dotyczące wypłaty zaległych należności, w tym przede wszystkim sposób ustalania ich wysokości.</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W dniu 13 lutego 2020 r. M. K. wniósł do Wojewódzkiego Sądu Administracyjnego w Gdańsku skargę na bezczynność Komendanta Wojewódzkiego Policji w G. w sprawie wypłaty ekwiwalentu za niewykorzystany urlop wypoczynkowy.</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W uzasadnieniu skargi skarżący przedstawił przebieg postepowania w sprawie oraz swoją trudną sytuację życiową. Skarżący podtrzymał stanowisko, że wydanie przez Trybunał Konstytucyjny w dniu 30 października 2018 r. wyroku w sprawie K 7/15 nie stanowi przeszkody do pozytywnego rozpatrzenia złożonego przez niego wniosku, w tym w szczególności nie ma potrzeby oczekiwania na projektowaną w związku z tym wyrokiem nowelizację ustawy o Policji.</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 xml:space="preserve">Skarżący wskazał nadto na stanowisko sądów administracyjnych wyrażone w innych sprawach </w:t>
            </w:r>
            <w:r>
              <w:rPr>
                <w:rFonts w:ascii="Helvetica" w:hAnsi="Helvetica" w:cs="Helvetica"/>
                <w:color w:val="auto"/>
                <w:sz w:val="22"/>
                <w:szCs w:val="22"/>
              </w:rPr>
              <w:lastRenderedPageBreak/>
              <w:t>dotyczących wypłaty ekwiwalentu za niewykorzystany urlop po zwolnieniu ze służby w Policji, zapadłych po wydaniu przez Trybunał Konstytucyjny wyroku z dnia 30 października 2018 r. sygn. K 7/15.</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W odpowiedzi na skargę organ wniósł o jej oddalenie wskazując, że organ nie pozostaje w bezczynności, ponieważ w sprawie podjęto realne czynności mające na celu załatwienie sprawy skarżącego. Organ podkreślił, ze nie kwestionuje prawa M. K. do ekwiwalentu pieniężnego za niewykorzystany urlop. Wielokrotnie informował jednak stronę, że nie podziela stanowiska o możliwości rozstrzygnięcia przedmiotowej sprawy przed ustanowieniem przed ustawodawcę przepisu prawa, w którym wskazanie zostanie w jaki sposób należy obliczyć wysokość żądanego ekwiwalentu. Organ nie jest zaś władny ustalić niezbędnego wskaźnika we własnym zakresie, ponieważ w kompetencje takie wyposażony jest jedynie ustawodawca.</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Wojewódzki Sąd Administracyjny w Gdańsku zważył, co następuje:</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Skarga zasługiwała na uwzględnienie.</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W świetle art. 3 § 1 i art. 3 § 2 pkt 8 ustawy z dnia 30 sierpnia 2002 r. - Prawo o postępowaniu przed sądami administracyjnymi (tekst jednolity: Dz. U. z 2019 r., poz. 2325 ze zm.; dalej powoływanej w skrócie jako "p.p.s.a.") kontrola działalności administracji publicznej sprawowana przez sądy administracyjne obejmuje orzekanie w sprawach skarg na bezczynność lub przewlekłe prowadzenie postępowania w przypadkach określonych w art. 3 § 2 pkt 1-4 p.p.s.a. Zgodnie z art. 3 § 2 pkt 8 p.p.s.a. skarga do sądu administracyjnego przysługuje więc w sprawach, w których wydawane są decyzje administracyjne albo postanowienia (art. 3 § 2 pkt 1 – 3 p.p.s.a.) oraz w tych sprawach, w których mogą być wydawane akty lub podejmowane czynności dotyczące przyznania, stwierdzenia albo uznania uprawnienia lub obowiązku wynikających z przepisów prawa (art. 3 § 2 pkt 4 p.p.s.a.).</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Z uwagi na to, że przedmiotem skargi skarżący uczynił bezczynność organu skarga została rozpoznana w trybie uproszczonym na posiedzeniu niejawnym w składzie trzech sędziów zgodnie z art. 119 pkt 4 i art. 120 p.p.s.a.</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Należy w pierwszej kolejności wskazać, że w myśl art. 52 § 1 p.p.s.a. skargę na bezczynność lub przewlekłe prowadzenie postępowania można wnieść po wyczerpaniu środków zaskarżenia, jeżeli służyły one skarżącemu w postępowaniu przed organem właściwym w sprawie. W przypadku skarg na bezczynność lub przewlekłe prowadzenie postępowania, wniesienie skargi należy poprzedzić ponagleniem do organu wyższego stopnia (o którym mowa w art. 37 § 1 ustawy z dnia 14 czerwca 1960 r. – Kodeks postępowania administracyjnego; tekst jednolity: Dz. U. z 2020 r., poz. 256 ze zm.; dalej w skrócie jako "k.p.a."). Dopiero po wyczerpaniu tego trybu strona może wnieść skargę do sądu administracyjnego, zaś skarga jest dopuszczalna niezależnie od tego, czy stanowisko organu wyższego stopnia było pozytywne, czy negatywne, a nawet - czy zostało ono wyrażone.</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Odnosząc powyższe uwagi do realiów niniejszej sprawy stwierdzić należy, że skarżący przed wniesieniem skargi do Sądu spełnił wymóg formalny albowiem złożył ponaglenie.</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 xml:space="preserve">Przechodząc do merytorycznej oceny wniesionej przez skarżącego skargi na bezczynność Komendanta Wojewódzkiego Policji w G. stwierdzić należy, że przepisy p.p.s.a. nie definiują pojęcia "bezczynności". W art. 37 § 1 pkt 1 k.p.a. ustawodawca wskazał z kolei, że o stanie bezczynności można mówić, gdy nie załatwiono sprawy w terminie określonym w art. 35 k.p.a. lub przepisach szczególnych ani w terminie wskazanym zgodnie z art. 36 § 1 k.p.a. Powyższe pozwala przyjąć, że sądowa ocena stanu bezczynności ogranicza się do ustalenia, że sprawy </w:t>
            </w:r>
            <w:r>
              <w:rPr>
                <w:rFonts w:ascii="Helvetica" w:hAnsi="Helvetica" w:cs="Helvetica"/>
                <w:color w:val="auto"/>
                <w:sz w:val="22"/>
                <w:szCs w:val="22"/>
              </w:rPr>
              <w:lastRenderedPageBreak/>
              <w:t>nie załatwiono w terminie ustawowym albo wyznaczonym przez organ zgodnie z art. 36 § 1 k.p.a. Innymi słowy, przedmiotem skargi na bezczynność jest wyłącznie ocena zachowania organu w postępowaniu administracyjnym przez pryzmat terminowości, a wniesienie skargi ukierunkowane jest na wymuszeniu na organie podjęcia wymaganej prawem czynności lub aktu. Bez znaczenia jest natomiast przyczyna niezałatwienia sprawy, w tym twierdzenia organu o usprawiedliwionej czy też nieusprawiedliwionej bierności.</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Generalnie z bezczynnością mamy do czynienia wówczas, gdy w prawnie ustalonym terminie organ nie podjął postępowania w sprawie lub wprawdzie prowadził postępowanie w sprawie, ale mimo istnienia ustawowego obowiązku, nie zakończył go wydaniem w terminie decyzji, postanowienia lub też innego aktu lub nie podjął stosownej czynności. Uwzględniając taką skargę Sąd zobowiązuje organ do wydania w określonym terminie aktu, interpretacji albo dokonania czynności lub stwierdzenia albo uznania uprawnienia lub obowiązku wynikających z przepisów prawa lub stwierdzenia, że organ dopuścił się bezczynności w prowadzonym postępowaniu (art. 149 § 1 p.p.s.a.). Instytucja skargi na bezczynność ma więc na celu doprowadzenie do wydania rozstrzygnięcia w sprawie.</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W tym miejscu podkreślić należy, że oceniając, czy organ pozostaje w bezczynności, Sąd bierze pod uwagę sytuację istniejącą w dacie orzekania. Wydanie przez organ decyzji lub innego aktu wyłącza bowiem możliwość uwzględnienia skargi na bezczynność. Tym samym, jeżeli w toku postępowania sądowoadministracyjnego, przed dniem orzekania w sprawie ze skargi na bezczynność, organ administracji publicznej wyda akt lub podejmie czynność, których domagała się strona, to przestaje on pozostawać w bezczynności. Sytuacja taka nie ma jednak miejsca w przedmiotowej sprawie, ponieważ wniosek skarżącego w dalszym ciągu pozostaje nierozpoznany.</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Wskazać należy, że w niniejszej sprawie organ, po otrzymaniu w dniu 15 lipca 2019 r. wniosku skarżącego z dnia 6 lipca 2019 r., skierował do niego trzy kolejne pisma, to jest pismo z dnia 31 lipca 2019 r., pismo z dnia 27 września 2019 r. i pismo z dnia 24 stycznia 2020 r., określające termin zakończenia sprawy odpowiednio na dzień 30 września 2019 r., 31 stycznia 2020 r. a ostatecznie na dzień 30 kwietnia 2020 r. We wskazanych pismach z dnia 27 września 2019 r. i 24 stycznia 2020 r. wprost wskazano, że z uwagi na brak normy ustawowej wprowadzającej prawidłowy mechanizm naliczania ekwiwalentu organ nie może załatwić wniosku strony, oczekując na znowelizowanie przez ustawodawcę art. 115a ustawy o Policji. Organ wskazał jednocześnie, że działania zmierzające do załatwienia sprawy skarżącego zostaną podjęte po wejściu w życie regulacji określających sposób ustalenia wysokości ekwiwalentu. W piśmie z dnia 31 lipca 2019 r. wskazano natomiast, że przeciwne stanowisko zawarte w wyroku Wojewódzkiego Sądu Administracyjnego w Gdańsku z dnia 23 maja 2019 r. (sygn. akt III SA/Gd 218/19) nie wiąże organu w przedmiotowej sprawie, a zatem nie obliguje organu do rozpoznania wniosku skarżącego bez oczekiwania na zmiany legislacyjne w zakresie art. 115a ustawy o Policji.</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Mając powyższe na uwadze, w ocenie Sądu nie budzi wątpliwości, że żadnego ze wskazanych wyżej pism skierowanych przez organ do skarżącego, to jest pisma z dnia 31 lipca 2019 r., pisma z dnia 27 września 2019 r., ani też pisma z dnia 24 stycznia 2020 r. w żaden sposób nie można uznać za decyzję administracyjną odmownie załatwiającą wniosek skarżącego. W każdym z tych pism wskazano bowiem, że organ nie może wydać rozstrzygnięcia, czego nie można utożsamiać z odmową uwzględnienia wniosku. W swej istocie pisma powyższe miały zatem charakter jedynie informacyjny. Zauważyć należy, że zarówno pismo z dnia 31 lipca 2019 r., pismo z dnia 27 września 2019 r., jak też pismo z dnia 24 stycznia 2020 r. nie zmierzało do merytorycznego załatwienia sprawy, to jest pozytywnego bądź negatywnego rozstrzygnięcia żądania strony w kwestii wypłacenia ekwiwalentu za niewykorzystany urlop.</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lastRenderedPageBreak/>
              <w:t>Nie budzi zaś wątpliwości, że pozytywne rozstrzygnięcie sprawy dotyczącej ekwiwalentu za niewykorzystany urlop wypoczynkowy oraz dodatkowy w związku ze zwolnieniem ze służby w Policji następuje w formie czynności materialno – technicznej, a odmowa wypłaty takiego ekwiwalentu winna być dokonana w formie decyzji.</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Zgodnie z prezentowanym w orzecznictwie poglądem, odmowa dokonania czynności materialno-technicznej winna być dokonana w drodze decyzji, albowiem jest to negatywne rozstrzygnięcie w sprawie administracyjnej, o której załatwienie zwróciła się strona, mająca w tym interes prawny. Taka forma załatwienia sprawy, umożliwiająca instancyjną i pozainstancyjną kontrolę zgodności rozstrzygnięcia z prawem, w najlepszy sposób chroni zarówno interes społeczny, jak i interes indywidualny strony (zob. m.in.: wyrok Naczelnego Sądu Administracyjnego z dnia 25 lutego 1983 r., sygn. akt II SA 2083/82; publ. ONSA z 1983 r., nr 1, poz. 14; wyrok Wojewódzkiego Sądu Administracyjnego w Szczecinie z dnia 22 września 2016 r.; sygn. akt II SAB/Sz 87/16; publ. Centralna Baza Orzeczeń Sądów Administracyjnych). Również Trybunał Konstytucyjny w wyroku z dnia 30 października 2018 r. (sygn. akt K 7/15) wskazał, że prawo do ekwiwalentu wynika z ustawy o Policji i jego realizacja następuje w drodze czynności materialno - technicznej, to jest poprzez wypłatę ekwiwalentu, natomiast odmowa jego wypłacenia - w drodze decyzji administracyjnej.</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Tymczasem Komendant Wojewódzki Policji w G., mimo deklaracji, że nie kwestionuje prawa skarżącego do ekwiwalentu pieniężnego za niewykorzystany urlop, ani nie dokonał jego wypłaty, ani też nie odmówił wypłaty poprzez wydanie stosownej decyzji administracyjnej. Postępowanie organu spowodowało, że organ ani nie zadośćuczynił żądaniu skarżącego, ani też nie pozwolił mu na zakwestionowanie negatywnego stanowiska w przedmiocie wypłaty ekwiwalentu.</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Zauważyć należy, że zgodnie z art. 35 § 3 k.p.a. załatwienie sprawy wymagającej postępowania wyjaśniającego powinno nastąpić nie później niż w ciągu miesiąca, a sprawy szczególnie skomplikowanej - nie później niż w ciągu dwóch miesięcy od dnia wszczęcia postępowania, zaś w postępowaniu odwoławczym - w ciągu miesiąca od dnia otrzymania odwołania.</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Organ nie załatwił sprawy ani w terminie miesiąca, ani w żadnym ze wskazywanych kolejno stronie terminach załatwienia sprawy, to jest ani do dnia 30 września 2019 r., ani do dnia 31 stycznia 2020 r. W okolicznościach niniejszej sprawy wyznaczenie nowego, trzeciego już terminu załatwienia sprawy na dzień 30 kwietnia 2020 r. nie może zaś skutkować uznaniem, że skoro termin ten w chwili orzekania przez Sąd jeszcze nie upłynął, to organ nie pozostaje w bezczynności. Zdaniem Sądu wyznaczenie nowego terminu na podstawie art. 36 k.p.a. nie ma służyć ochronie organu administracji publicznej przez stwierdzeniem jego bezczynności w sprawie, a ma służyć ochronie interesów stron postępowania. Wskazanie nowego terminu załatwienia sprawy zostało umotywowane przez organ oczekiwaniem na zmianę stanu prawnego. W tym kontekście należy zauważyć, że w świetle aktualnego orzecznictwa sądów administracyjnych rozpoznanie przez organy Policji wniosków o przeliczenie ekwiwalentu, które zostały złożone w związku z wydanym przez Trybunał Konstytucyjny wyrokiem z dnia 30 października 2018 r. (sygn. akt K 7/15) dla podjęcia merytorycznego rozstrzygnięcia nie wymaga oczekiwania na działania legislacyjne w zakresie dotyczącym ustawy o Policji. Pogląd ten, zdaniem Sądu rozpoznającego niniejszą sprawę, należy podzielić także w przypadku wniosku o wypłatę ekwiwalentu za niewykorzystany urlop. Skoro organ prezentował w tej kwestii pogląd przeciwny, winien był wydać decyzję odmawiającą uwzględnienia wniosku, gwarantując w ten sposób skarżącemu rzeczywistą możliwość zakwestionowania tego stanowiska w drodze odwołania od decyzji.</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 xml:space="preserve">Reasumując powyższe rozważania Sąd uznał, że organ pozostaje w bezczynności w </w:t>
            </w:r>
            <w:r>
              <w:rPr>
                <w:rFonts w:ascii="Helvetica" w:hAnsi="Helvetica" w:cs="Helvetica"/>
                <w:color w:val="auto"/>
                <w:sz w:val="22"/>
                <w:szCs w:val="22"/>
              </w:rPr>
              <w:lastRenderedPageBreak/>
              <w:t>załatwieniu wniosku skarżącego.</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W tej sytuacji Sąd, na podstawie art. 149 § 1 pkt 1 p.p.s.a. uwzględnił wniesioną skargę na bezczynność organu orzekając jak w punkcie pierwszym sentencji wyroku.</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Uwzględniając skargę na bezczynność sąd administracyjny zobowiązany jest również stwierdzić, czy bezczynność miała miejsce z rażącym naruszeniem prawa (art. 149 § 1a p.p.s.a.). Każda bezczynność jest naruszeniem prawa, jednak nie w przypadku każdej bezczynności mamy do czynienia z rażącym naruszeniem prawa. Ocena charakteru naruszenia prawa powinna być dokonywana zawsze w powiązaniu z okolicznościami danej sprawy, rozpatrywanej indywidualnie. W realiach niniejszej sprawy uznać należało, że bezczynność organu nie miała miejsca z rażącym naruszeniem prawa. Organ odpowiedział na wniosek skarżącego działając w błędnym przekonaniu, że informując wnioskodawcę pisemnie działa prawidłowo.</w:t>
            </w:r>
          </w:p>
          <w:p w:rsidR="00232DC9" w:rsidRDefault="00232DC9" w:rsidP="00C761DA">
            <w:pPr>
              <w:rPr>
                <w:rFonts w:ascii="Helvetica" w:hAnsi="Helvetica" w:cs="Helvetica"/>
                <w:color w:val="auto"/>
              </w:rPr>
            </w:pPr>
          </w:p>
          <w:p w:rsidR="00232DC9" w:rsidRDefault="00232DC9" w:rsidP="00C761DA">
            <w:pPr>
              <w:rPr>
                <w:rFonts w:ascii="Helvetica" w:hAnsi="Helvetica" w:cs="Helvetica"/>
                <w:color w:val="auto"/>
              </w:rPr>
            </w:pPr>
            <w:r>
              <w:rPr>
                <w:rFonts w:ascii="Helvetica" w:hAnsi="Helvetica" w:cs="Helvetica"/>
                <w:color w:val="auto"/>
                <w:sz w:val="22"/>
                <w:szCs w:val="22"/>
              </w:rPr>
              <w:t>Mając powyższe na uwadze Sąd stwierdził, że bezczynność organu nie miała miejsca z rażącym naruszeniem prawa (punkt drugi sentencji wyroku).</w:t>
            </w:r>
          </w:p>
        </w:tc>
      </w:tr>
      <w:tr w:rsidR="00232DC9" w:rsidTr="00C761DA">
        <w:tc>
          <w:tcPr>
            <w:tcW w:w="1869" w:type="dxa"/>
            <w:tcBorders>
              <w:top w:val="nil"/>
              <w:left w:val="single" w:sz="4" w:space="0" w:color="FFFFFF"/>
              <w:bottom w:val="single" w:sz="4" w:space="0" w:color="FFFFFF"/>
              <w:right w:val="single" w:sz="4" w:space="0" w:color="FFFFFF"/>
            </w:tcBorders>
            <w:shd w:val="clear" w:color="auto" w:fill="FFFFFF"/>
            <w:tcMar>
              <w:top w:w="50" w:type="dxa"/>
              <w:left w:w="50" w:type="dxa"/>
              <w:bottom w:w="50" w:type="dxa"/>
              <w:right w:w="50" w:type="dxa"/>
            </w:tcMar>
          </w:tcPr>
          <w:p w:rsidR="00232DC9" w:rsidRDefault="00232DC9" w:rsidP="00C761DA">
            <w:pPr>
              <w:rPr>
                <w:rFonts w:ascii="Times New Roman" w:hAnsi="Times New Roman" w:cs="Times New Roman"/>
                <w:color w:val="auto"/>
              </w:rPr>
            </w:pPr>
          </w:p>
        </w:tc>
        <w:tc>
          <w:tcPr>
            <w:tcW w:w="7477" w:type="dxa"/>
            <w:tcBorders>
              <w:top w:val="nil"/>
              <w:left w:val="single" w:sz="4" w:space="0" w:color="FFFFFF"/>
              <w:bottom w:val="single" w:sz="4" w:space="0" w:color="FFFFFF"/>
              <w:right w:val="single" w:sz="4" w:space="0" w:color="FFFFFF"/>
            </w:tcBorders>
            <w:shd w:val="clear" w:color="auto" w:fill="FFFFFF"/>
            <w:tcMar>
              <w:top w:w="50" w:type="dxa"/>
              <w:left w:w="50" w:type="dxa"/>
              <w:bottom w:w="50" w:type="dxa"/>
              <w:right w:w="50" w:type="dxa"/>
            </w:tcMar>
          </w:tcPr>
          <w:p w:rsidR="00232DC9" w:rsidRDefault="00232DC9" w:rsidP="00C761DA">
            <w:pPr>
              <w:rPr>
                <w:rFonts w:ascii="Times New Roman" w:hAnsi="Times New Roman" w:cs="Times New Roman"/>
                <w:color w:val="auto"/>
              </w:rPr>
            </w:pPr>
          </w:p>
        </w:tc>
      </w:tr>
    </w:tbl>
    <w:p w:rsidR="00232DC9" w:rsidRDefault="00232DC9" w:rsidP="00232DC9"/>
    <w:p w:rsidR="00096800" w:rsidRDefault="00096800"/>
    <w:sectPr w:rsidR="00096800">
      <w:headerReference w:type="default" r:id="rId7"/>
      <w:footerReference w:type="default" r:id="rId8"/>
      <w:pgSz w:w="11907" w:h="16840"/>
      <w:pgMar w:top="1720" w:right="1120" w:bottom="1440" w:left="144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4E9" w:rsidRDefault="00BA14E9">
      <w:r>
        <w:separator/>
      </w:r>
    </w:p>
  </w:endnote>
  <w:endnote w:type="continuationSeparator" w:id="0">
    <w:p w:rsidR="00BA14E9" w:rsidRDefault="00BA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unknow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6D7" w:rsidRDefault="00232DC9">
    <w:pPr>
      <w:rPr>
        <w:rFonts w:ascii="Times New Roman" w:hAnsi="Times New Roman" w:cs="Times New Roman"/>
        <w:color w:val="auto"/>
      </w:rPr>
    </w:pPr>
    <w:r>
      <w:rPr>
        <w:rFonts w:ascii="Times New Roman" w:hAnsi="Times New Roman" w:cs="Times New Roman"/>
        <w:color w:val="auto"/>
      </w:rPr>
      <w:t>2020-05-19 14:36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4E9" w:rsidRDefault="00BA14E9">
      <w:r>
        <w:separator/>
      </w:r>
    </w:p>
  </w:footnote>
  <w:footnote w:type="continuationSeparator" w:id="0">
    <w:p w:rsidR="00BA14E9" w:rsidRDefault="00BA1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47" w:type="dxa"/>
      <w:jc w:val="center"/>
      <w:tblLayout w:type="fixed"/>
      <w:tblCellMar>
        <w:left w:w="0" w:type="dxa"/>
        <w:right w:w="0" w:type="dxa"/>
      </w:tblCellMar>
      <w:tblLook w:val="0000" w:firstRow="0" w:lastRow="0" w:firstColumn="0" w:lastColumn="0" w:noHBand="0" w:noVBand="0"/>
    </w:tblPr>
    <w:tblGrid>
      <w:gridCol w:w="7631"/>
      <w:gridCol w:w="1716"/>
    </w:tblGrid>
    <w:tr w:rsidR="001836D7">
      <w:trPr>
        <w:jc w:val="center"/>
      </w:trPr>
      <w:tc>
        <w:tcPr>
          <w:tcW w:w="7630" w:type="dxa"/>
          <w:tcBorders>
            <w:top w:val="single" w:sz="4" w:space="0" w:color="FFFFFF"/>
            <w:left w:val="single" w:sz="4" w:space="0" w:color="FFFFFF"/>
            <w:bottom w:val="single" w:sz="4" w:space="0" w:color="FFFFFF"/>
            <w:right w:val="single" w:sz="4" w:space="0" w:color="FFFFFF"/>
          </w:tcBorders>
          <w:shd w:val="clear" w:color="auto" w:fill="FFFFFF"/>
        </w:tcPr>
        <w:p w:rsidR="001836D7" w:rsidRDefault="00232DC9">
          <w:pPr>
            <w:rPr>
              <w:rFonts w:ascii="Times New Roman" w:hAnsi="Times New Roman" w:cs="Times New Roman"/>
              <w:color w:val="auto"/>
            </w:rPr>
          </w:pPr>
          <w:r>
            <w:rPr>
              <w:rFonts w:ascii="Times New Roman" w:hAnsi="Times New Roman" w:cs="Times New Roman"/>
              <w:color w:val="auto"/>
            </w:rPr>
            <w:t>Centralna Baza Orzeczeń Sądów Administracyjnych</w:t>
          </w:r>
        </w:p>
      </w:tc>
      <w:tc>
        <w:tcPr>
          <w:tcW w:w="1716" w:type="dxa"/>
          <w:tcBorders>
            <w:top w:val="single" w:sz="4" w:space="0" w:color="FFFFFF"/>
            <w:left w:val="single" w:sz="4" w:space="0" w:color="FFFFFF"/>
            <w:bottom w:val="single" w:sz="4" w:space="0" w:color="FFFFFF"/>
            <w:right w:val="single" w:sz="4" w:space="0" w:color="FFFFFF"/>
          </w:tcBorders>
          <w:shd w:val="clear" w:color="auto" w:fill="FFFFFF"/>
        </w:tcPr>
        <w:p w:rsidR="001836D7" w:rsidRDefault="00232DC9">
          <w:pPr>
            <w:jc w:val="right"/>
            <w:rPr>
              <w:rFonts w:ascii="unknown" w:hAnsi="unknown" w:cs="unknown"/>
              <w:color w:val="auto"/>
            </w:rPr>
          </w:pPr>
          <w:r>
            <w:rPr>
              <w:rFonts w:ascii="Times New Roman" w:hAnsi="Times New Roman" w:cs="Times New Roman"/>
              <w:color w:val="auto"/>
            </w:rPr>
            <w:t xml:space="preserve">Str </w:t>
          </w:r>
          <w:r>
            <w:rPr>
              <w:rFonts w:ascii="unknown" w:hAnsi="unknown" w:cs="unknown"/>
              <w:color w:val="auto"/>
            </w:rPr>
            <w:fldChar w:fldCharType="begin"/>
          </w:r>
          <w:r>
            <w:rPr>
              <w:rFonts w:ascii="unknown" w:hAnsi="unknown" w:cs="unknown"/>
              <w:color w:val="auto"/>
            </w:rPr>
            <w:instrText>PAGE</w:instrText>
          </w:r>
          <w:r>
            <w:rPr>
              <w:rFonts w:ascii="unknown" w:hAnsi="unknown" w:cs="unknown"/>
              <w:color w:val="auto"/>
            </w:rPr>
            <w:fldChar w:fldCharType="separate"/>
          </w:r>
          <w:r w:rsidR="00781C8B">
            <w:rPr>
              <w:rFonts w:ascii="unknown" w:hAnsi="unknown" w:cs="unknown"/>
              <w:noProof/>
              <w:color w:val="auto"/>
            </w:rPr>
            <w:t>1</w:t>
          </w:r>
          <w:r>
            <w:rPr>
              <w:rFonts w:ascii="unknown" w:hAnsi="unknown" w:cs="unknown"/>
              <w:color w:val="auto"/>
            </w:rPr>
            <w:fldChar w:fldCharType="end"/>
          </w:r>
          <w:r>
            <w:rPr>
              <w:rFonts w:ascii="Times New Roman" w:hAnsi="Times New Roman" w:cs="Times New Roman"/>
              <w:color w:val="auto"/>
            </w:rPr>
            <w:t xml:space="preserve"> / </w:t>
          </w:r>
          <w:r>
            <w:rPr>
              <w:rFonts w:ascii="unknown" w:hAnsi="unknown" w:cs="unknown"/>
              <w:color w:val="auto"/>
            </w:rPr>
            <w:fldChar w:fldCharType="begin"/>
          </w:r>
          <w:r>
            <w:rPr>
              <w:rFonts w:ascii="unknown" w:hAnsi="unknown" w:cs="unknown"/>
              <w:color w:val="auto"/>
            </w:rPr>
            <w:instrText>NUMPAGES \* Arabic</w:instrText>
          </w:r>
          <w:r>
            <w:rPr>
              <w:rFonts w:ascii="unknown" w:hAnsi="unknown" w:cs="unknown"/>
              <w:color w:val="auto"/>
            </w:rPr>
            <w:fldChar w:fldCharType="separate"/>
          </w:r>
          <w:r w:rsidR="00781C8B">
            <w:rPr>
              <w:rFonts w:ascii="unknown" w:hAnsi="unknown" w:cs="unknown"/>
              <w:noProof/>
              <w:color w:val="auto"/>
            </w:rPr>
            <w:t>6</w:t>
          </w:r>
          <w:r>
            <w:rPr>
              <w:rFonts w:ascii="unknown" w:hAnsi="unknown" w:cs="unknown"/>
              <w:color w:val="auto"/>
            </w:rPr>
            <w:fldChar w:fldCharType="end"/>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32DC9"/>
    <w:rsid w:val="00096800"/>
    <w:rsid w:val="00232DC9"/>
    <w:rsid w:val="00781C8B"/>
    <w:rsid w:val="00BA14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6685C-92CA-4447-874B-054E95E4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2DC9"/>
    <w:pPr>
      <w:widowControl w:val="0"/>
      <w:autoSpaceDE w:val="0"/>
      <w:autoSpaceDN w:val="0"/>
      <w:adjustRightInd w:val="0"/>
      <w:spacing w:after="0" w:line="240" w:lineRule="auto"/>
    </w:pPr>
    <w:rPr>
      <w:rFonts w:ascii="Arial" w:eastAsiaTheme="minorEastAsia" w:hAnsi="Arial" w:cs="Arial"/>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32DC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rzeczenia.nsa.gov.pl/doc/31ACFC19E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2742</Words>
  <Characters>16457</Characters>
  <Application>Microsoft Office Word</Application>
  <DocSecurity>0</DocSecurity>
  <Lines>137</Lines>
  <Paragraphs>38</Paragraphs>
  <ScaleCrop>false</ScaleCrop>
  <Company/>
  <LinksUpToDate>false</LinksUpToDate>
  <CharactersWithSpaces>19161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seirp</dc:creator>
  <cp:lastModifiedBy>Stowarzyszenie Emerytów</cp:lastModifiedBy>
  <cp:revision>2</cp:revision>
  <dcterms:created xsi:type="dcterms:W3CDTF">2020-05-19T16:06:00Z</dcterms:created>
  <dcterms:modified xsi:type="dcterms:W3CDTF">2020-05-20T20:27:00Z</dcterms:modified>
</cp:coreProperties>
</file>