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80" w:rsidRDefault="00265E80" w:rsidP="00265E80">
      <w:r>
        <w:rPr>
          <w:rFonts w:ascii="Times New Roman" w:hAnsi="Times New Roman" w:cs="Times New Roman"/>
          <w:b/>
          <w:bCs/>
          <w:sz w:val="32"/>
          <w:szCs w:val="32"/>
        </w:rPr>
        <w:t>I OSK – 1464/19  wyrok NSA z dnia 13 grudnia 2019 r. - omówienie</w:t>
      </w:r>
    </w:p>
    <w:p w:rsidR="00265E80" w:rsidRDefault="00265E80" w:rsidP="00265E80">
      <w:pPr>
        <w:rPr>
          <w:rFonts w:ascii="Times New Roman" w:hAnsi="Times New Roman" w:cs="Times New Roman"/>
          <w:b/>
          <w:bCs/>
          <w:sz w:val="28"/>
          <w:szCs w:val="28"/>
        </w:rPr>
      </w:pPr>
    </w:p>
    <w:p w:rsidR="00265E80" w:rsidRDefault="00265E80" w:rsidP="00265E80">
      <w:pPr>
        <w:pStyle w:val="Nagb3f3wek4"/>
        <w:jc w:val="both"/>
        <w:rPr>
          <w:rFonts w:cstheme="minorBidi"/>
          <w:bCs w:val="0"/>
          <w:szCs w:val="24"/>
        </w:rPr>
      </w:pPr>
      <w:r>
        <w:rPr>
          <w:rFonts w:ascii="Times New Roman" w:hAnsi="Times New Roman" w:cs="Times New Roman"/>
          <w:b w:val="0"/>
          <w:bCs w:val="0"/>
          <w:szCs w:val="24"/>
        </w:rPr>
        <w:t>Dotyczy E.W:</w:t>
      </w:r>
    </w:p>
    <w:p w:rsidR="00265E80" w:rsidRDefault="00265E80" w:rsidP="00265E80">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 sekretarka/ maszynistka w KPP (</w:t>
      </w:r>
      <w:proofErr w:type="spellStart"/>
      <w:r>
        <w:rPr>
          <w:rFonts w:ascii="Times New Roman" w:hAnsi="Times New Roman" w:cs="Times New Roman"/>
          <w:b w:val="0"/>
          <w:bCs w:val="0"/>
          <w:szCs w:val="24"/>
        </w:rPr>
        <w:t>b.d.b</w:t>
      </w:r>
      <w:proofErr w:type="spellEnd"/>
      <w:r>
        <w:rPr>
          <w:rFonts w:ascii="Times New Roman" w:hAnsi="Times New Roman" w:cs="Times New Roman"/>
          <w:b w:val="0"/>
          <w:bCs w:val="0"/>
          <w:szCs w:val="24"/>
        </w:rPr>
        <w:t>.)</w:t>
      </w:r>
    </w:p>
    <w:p w:rsidR="00265E80" w:rsidRDefault="00265E80" w:rsidP="00265E80">
      <w:pPr>
        <w:pStyle w:val="Nagb3f3wek4"/>
        <w:jc w:val="both"/>
        <w:rPr>
          <w:rFonts w:cstheme="minorBidi"/>
          <w:bCs w:val="0"/>
          <w:szCs w:val="24"/>
        </w:rPr>
      </w:pPr>
      <w:r>
        <w:rPr>
          <w:rFonts w:ascii="Times New Roman" w:hAnsi="Times New Roman" w:cs="Times New Roman"/>
          <w:bCs w:val="0"/>
          <w:szCs w:val="24"/>
        </w:rPr>
        <w:t>czas służby</w:t>
      </w:r>
      <w:r>
        <w:rPr>
          <w:rFonts w:ascii="Times New Roman" w:hAnsi="Times New Roman" w:cs="Times New Roman"/>
          <w:b w:val="0"/>
          <w:bCs w:val="0"/>
          <w:szCs w:val="24"/>
        </w:rPr>
        <w:t xml:space="preserve"> - 2 lata i 8 miesięcy do 23 lat i 9 miesięcy ogółem</w:t>
      </w:r>
    </w:p>
    <w:p w:rsidR="00265E80" w:rsidRDefault="00265E80" w:rsidP="00265E80">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lipca 2018 r. odmówił E.W. zastosowania wobec niej wyłączenia wynikającego z art. 8a ustawy zaopatrzeniowej.</w:t>
      </w:r>
    </w:p>
    <w:p w:rsidR="00265E80" w:rsidRDefault="00265E80" w:rsidP="00265E80">
      <w:pPr>
        <w:pStyle w:val="Nagb3f3wek4"/>
        <w:jc w:val="both"/>
        <w:rPr>
          <w:rFonts w:cstheme="minorBidi"/>
          <w:bCs w:val="0"/>
          <w:szCs w:val="24"/>
        </w:rPr>
      </w:pPr>
      <w:r>
        <w:rPr>
          <w:rFonts w:ascii="Times New Roman" w:hAnsi="Times New Roman" w:cs="Times New Roman"/>
          <w:b w:val="0"/>
          <w:bCs w:val="0"/>
          <w:szCs w:val="24"/>
        </w:rPr>
        <w:t>Wojewódzki Sądu Administracyjny w Warszawie wyrokiem z dnia 22 marca 2019 r. sygn. akt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1558/18 uchylił przedmiotową decyzję ministra.</w:t>
      </w:r>
    </w:p>
    <w:p w:rsidR="00265E80" w:rsidRDefault="00265E80" w:rsidP="00265E80">
      <w:pPr>
        <w:pStyle w:val="Nagb3f3wek4"/>
        <w:jc w:val="both"/>
        <w:rPr>
          <w:rFonts w:cstheme="minorBidi"/>
          <w:bCs w:val="0"/>
          <w:szCs w:val="24"/>
        </w:rPr>
      </w:pPr>
      <w:r>
        <w:rPr>
          <w:rFonts w:ascii="Times New Roman" w:hAnsi="Times New Roman" w:cs="Times New Roman"/>
          <w:b w:val="0"/>
          <w:bCs w:val="0"/>
          <w:szCs w:val="24"/>
        </w:rPr>
        <w:t xml:space="preserve">Minister Spraw Wewnętrznych i Administracji wniósł od tego wyroku skargę kasacyjną. </w:t>
      </w:r>
    </w:p>
    <w:p w:rsidR="00265E80" w:rsidRDefault="00265E80" w:rsidP="00265E80">
      <w:pPr>
        <w:pStyle w:val="Nagb3f3wek4"/>
        <w:jc w:val="both"/>
        <w:rPr>
          <w:rFonts w:cstheme="minorBidi"/>
          <w:bCs w:val="0"/>
          <w:szCs w:val="24"/>
        </w:rPr>
      </w:pPr>
      <w:r>
        <w:rPr>
          <w:rFonts w:ascii="Times New Roman" w:hAnsi="Times New Roman" w:cs="Times New Roman"/>
          <w:b w:val="0"/>
          <w:bCs w:val="0"/>
          <w:szCs w:val="24"/>
        </w:rPr>
        <w:t>Naczelny Sąd Administracyjny skargę kasacyjną ministra - oddalił.</w:t>
      </w:r>
    </w:p>
    <w:p w:rsidR="00265E80" w:rsidRDefault="00265E80" w:rsidP="00265E80">
      <w:pPr>
        <w:pStyle w:val="Tre9ce6tekstu"/>
        <w:jc w:val="both"/>
        <w:rPr>
          <w:rFonts w:cstheme="minorBidi"/>
        </w:rPr>
      </w:pPr>
      <w:r>
        <w:rPr>
          <w:rFonts w:ascii="Times New Roman" w:hAnsi="Times New Roman" w:cs="Times New Roman"/>
          <w:sz w:val="28"/>
          <w:szCs w:val="28"/>
        </w:rPr>
        <w:t xml:space="preserve">                                                 _______________</w:t>
      </w:r>
    </w:p>
    <w:p w:rsidR="00265E80" w:rsidRDefault="00265E80" w:rsidP="00265E80">
      <w:pPr>
        <w:rPr>
          <w:rFonts w:ascii="Times New Roman" w:hAnsi="Times New Roman" w:cs="Times New Roman"/>
          <w:sz w:val="28"/>
          <w:szCs w:val="28"/>
        </w:rPr>
      </w:pPr>
    </w:p>
    <w:p w:rsidR="00265E80" w:rsidRDefault="00265E80" w:rsidP="00265E80">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w tym:</w:t>
      </w:r>
    </w:p>
    <w:p w:rsidR="00265E80" w:rsidRDefault="00265E80" w:rsidP="00265E80">
      <w:pPr>
        <w:jc w:val="both"/>
        <w:rPr>
          <w:rFonts w:ascii="Times New Roman" w:hAnsi="Times New Roman" w:cs="Times New Roman"/>
          <w:sz w:val="28"/>
          <w:szCs w:val="28"/>
        </w:rPr>
      </w:pPr>
    </w:p>
    <w:p w:rsidR="00265E80" w:rsidRDefault="00265E80" w:rsidP="00265E80">
      <w:pPr>
        <w:pStyle w:val="Tre9ce6tekstu"/>
        <w:spacing w:before="57" w:after="57"/>
        <w:jc w:val="both"/>
        <w:rPr>
          <w:rFonts w:cstheme="minorBidi"/>
        </w:rPr>
      </w:pPr>
      <w:r>
        <w:rPr>
          <w:rFonts w:ascii="Times New Roman" w:hAnsi="Times New Roman" w:cs="Times New Roman"/>
          <w:sz w:val="28"/>
          <w:szCs w:val="28"/>
        </w:rPr>
        <w:t xml:space="preserve">1)  krótkotrwała służba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265E80" w:rsidRDefault="00265E80" w:rsidP="00265E80">
      <w:pPr>
        <w:pStyle w:val="Tre9ce6tekstu"/>
        <w:spacing w:before="57" w:after="57"/>
        <w:jc w:val="both"/>
        <w:rPr>
          <w:rFonts w:cstheme="minorBidi"/>
        </w:rPr>
      </w:pPr>
      <w:r>
        <w:rPr>
          <w:rFonts w:ascii="Times New Roman" w:hAnsi="Times New Roman" w:cs="Times New Roman"/>
          <w:sz w:val="28"/>
          <w:szCs w:val="28"/>
        </w:rPr>
        <w:t xml:space="preserve"> oraz</w:t>
      </w:r>
    </w:p>
    <w:p w:rsidR="00265E80" w:rsidRDefault="00265E80" w:rsidP="00265E80">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265E80" w:rsidRDefault="00265E80" w:rsidP="00265E80">
      <w:pPr>
        <w:pStyle w:val="Tre9ce6tekstu"/>
        <w:spacing w:after="0"/>
        <w:jc w:val="both"/>
        <w:rPr>
          <w:rFonts w:ascii="Times New Roman" w:hAnsi="Times New Roman" w:cs="Times New Roman"/>
          <w:sz w:val="28"/>
          <w:szCs w:val="28"/>
        </w:rPr>
      </w:pPr>
    </w:p>
    <w:p w:rsidR="00265E80" w:rsidRDefault="00265E80" w:rsidP="00265E80">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265E80" w:rsidRDefault="00265E80" w:rsidP="00265E80">
      <w:pPr>
        <w:pStyle w:val="Tre9ce6tekstu"/>
        <w:spacing w:before="57" w:after="57"/>
        <w:jc w:val="both"/>
        <w:rPr>
          <w:rFonts w:cstheme="minorBidi"/>
        </w:rPr>
      </w:pPr>
      <w:r>
        <w:rPr>
          <w:rFonts w:ascii="Times New Roman" w:hAnsi="Times New Roman" w:cs="Times New Roman"/>
          <w:sz w:val="28"/>
          <w:szCs w:val="28"/>
        </w:rPr>
        <w:t>Krótkotrwałość i rzetelność muszą występować łącznie, przy czym:</w:t>
      </w:r>
    </w:p>
    <w:p w:rsidR="00265E80" w:rsidRDefault="00265E80" w:rsidP="00265E80">
      <w:pPr>
        <w:pStyle w:val="Tre9ce6tekstu"/>
        <w:spacing w:before="57" w:after="57"/>
        <w:jc w:val="both"/>
        <w:rPr>
          <w:rFonts w:cstheme="minorBidi"/>
        </w:rPr>
      </w:pPr>
      <w:r>
        <w:rPr>
          <w:rFonts w:ascii="Times New Roman" w:hAnsi="Times New Roman" w:cs="Times New Roman"/>
          <w:sz w:val="28"/>
          <w:szCs w:val="28"/>
        </w:rPr>
        <w:t xml:space="preserve">- nie wystąpiła krótkotrwałość, bo </w:t>
      </w:r>
      <w:r>
        <w:rPr>
          <w:rFonts w:ascii="Times New Roman" w:hAnsi="Times New Roman" w:cs="Times New Roman"/>
          <w:b/>
          <w:bCs/>
          <w:sz w:val="28"/>
          <w:szCs w:val="28"/>
        </w:rPr>
        <w:t>2 lata i 8 miesięcy</w:t>
      </w:r>
      <w:r>
        <w:rPr>
          <w:rFonts w:ascii="Times New Roman" w:hAnsi="Times New Roman" w:cs="Times New Roman"/>
          <w:sz w:val="28"/>
          <w:szCs w:val="28"/>
        </w:rPr>
        <w:t xml:space="preserve"> służby na rzecz TP wobec całego okresu pełnienia służby, tj. </w:t>
      </w:r>
      <w:r>
        <w:rPr>
          <w:rFonts w:ascii="Times New Roman" w:hAnsi="Times New Roman" w:cs="Times New Roman"/>
          <w:b/>
          <w:bCs/>
          <w:sz w:val="28"/>
          <w:szCs w:val="28"/>
        </w:rPr>
        <w:t>23 lat i 9 miesięcy -</w:t>
      </w:r>
      <w:r>
        <w:rPr>
          <w:rFonts w:ascii="Times New Roman" w:hAnsi="Times New Roman" w:cs="Times New Roman"/>
          <w:sz w:val="28"/>
          <w:szCs w:val="28"/>
        </w:rPr>
        <w:t xml:space="preserve"> to zbyt długo.</w:t>
      </w:r>
    </w:p>
    <w:p w:rsidR="00265E80" w:rsidRDefault="00265E80" w:rsidP="00265E80">
      <w:pPr>
        <w:pStyle w:val="Tre9ce6tekstu"/>
        <w:jc w:val="both"/>
        <w:rPr>
          <w:rFonts w:cstheme="minorBidi"/>
        </w:rPr>
      </w:pPr>
      <w:r>
        <w:rPr>
          <w:rFonts w:ascii="Times New Roman" w:hAnsi="Times New Roman" w:cs="Times New Roman"/>
          <w:sz w:val="28"/>
          <w:szCs w:val="28"/>
        </w:rPr>
        <w:t>- nie wystąpiła rzetelność bo wnioskodawczyni faktycznie nie  narażała zdrowia i życia i nie legitymuje się wybitnymi osiągnięciami w służbie, szczególnie wyróżniającymi ją na tle innych funkcjonariuszy.</w:t>
      </w:r>
    </w:p>
    <w:p w:rsidR="00265E80" w:rsidRDefault="00265E80" w:rsidP="00265E80">
      <w:pPr>
        <w:pStyle w:val="Tre9ce6tekstu"/>
        <w:jc w:val="both"/>
        <w:rPr>
          <w:rFonts w:cstheme="minorBidi"/>
        </w:rPr>
      </w:pPr>
    </w:p>
    <w:p w:rsidR="00265E80" w:rsidRDefault="00265E80" w:rsidP="00265E80">
      <w:pPr>
        <w:pStyle w:val="Tre9ce6tekstu"/>
        <w:jc w:val="both"/>
        <w:rPr>
          <w:rFonts w:cstheme="minorBidi"/>
        </w:rPr>
      </w:pPr>
      <w:r>
        <w:rPr>
          <w:rFonts w:ascii="Times New Roman" w:hAnsi="Times New Roman" w:cs="Times New Roman"/>
          <w:b/>
          <w:bCs/>
          <w:sz w:val="28"/>
          <w:szCs w:val="28"/>
        </w:rPr>
        <w:t>Argumenty przywołane przez Wojewódzki Sąd Administracyjny</w:t>
      </w:r>
    </w:p>
    <w:p w:rsidR="00265E80" w:rsidRDefault="00265E80" w:rsidP="00265E80">
      <w:pPr>
        <w:pStyle w:val="Tre9ce6tekstu"/>
        <w:jc w:val="both"/>
        <w:rPr>
          <w:rFonts w:cstheme="minorBidi"/>
        </w:rPr>
      </w:pPr>
      <w:r>
        <w:rPr>
          <w:rFonts w:ascii="Times New Roman" w:hAnsi="Times New Roman" w:cs="Times New Roman"/>
          <w:sz w:val="28"/>
          <w:szCs w:val="28"/>
        </w:rPr>
        <w:t xml:space="preserve">Sąd uznał, że: </w:t>
      </w:r>
    </w:p>
    <w:p w:rsidR="00265E80" w:rsidRDefault="00265E80" w:rsidP="00265E80">
      <w:pPr>
        <w:pStyle w:val="Tre9ce6tekstu"/>
        <w:jc w:val="both"/>
        <w:rPr>
          <w:rFonts w:cstheme="minorBidi"/>
        </w:rPr>
      </w:pPr>
      <w:r>
        <w:rPr>
          <w:rFonts w:ascii="Times New Roman" w:hAnsi="Times New Roman" w:cs="Times New Roman"/>
          <w:sz w:val="28"/>
          <w:szCs w:val="28"/>
        </w:rPr>
        <w:t>- okres pełnienia służby na rzecz TP przez wnioskodawczynię był okresem krótkotrwałym,</w:t>
      </w:r>
    </w:p>
    <w:p w:rsidR="00265E80" w:rsidRDefault="00265E80" w:rsidP="00265E80">
      <w:pPr>
        <w:pStyle w:val="Tre9ce6tekstu"/>
        <w:jc w:val="both"/>
        <w:rPr>
          <w:rFonts w:cstheme="minorBidi"/>
        </w:rPr>
      </w:pPr>
      <w:r>
        <w:rPr>
          <w:rFonts w:ascii="Times New Roman" w:hAnsi="Times New Roman" w:cs="Times New Roman"/>
          <w:sz w:val="28"/>
          <w:szCs w:val="28"/>
        </w:rPr>
        <w:lastRenderedPageBreak/>
        <w:t>- brak dokumentów wskazujących na narażanie życia i zdrowia nie może stanowić podstawy do przyjęcia, że przesłanka rzetelności  nie została spełniona,</w:t>
      </w:r>
    </w:p>
    <w:p w:rsidR="00265E80" w:rsidRDefault="00265E80" w:rsidP="00265E80">
      <w:pPr>
        <w:pStyle w:val="Tre9ce6tekstu"/>
        <w:jc w:val="both"/>
        <w:rPr>
          <w:rFonts w:cstheme="minorBidi"/>
        </w:rPr>
      </w:pPr>
      <w:r>
        <w:rPr>
          <w:rFonts w:ascii="Times New Roman" w:hAnsi="Times New Roman" w:cs="Times New Roman"/>
          <w:sz w:val="28"/>
          <w:szCs w:val="28"/>
        </w:rPr>
        <w:t xml:space="preserve">- szczególnie uzasadniony przypadek może dotyczyć również, m. in. zdarzenia losowego, czy szczególnej sytuacji w jakiej znajduje się wnioskodawczyni aktualnie, w tym wynikającej ze stanu jej zdrowia, jak również członka rodziny, nad którym  sprawuje opiekę. </w:t>
      </w:r>
    </w:p>
    <w:p w:rsidR="00265E80" w:rsidRDefault="00265E80" w:rsidP="00265E80">
      <w:pPr>
        <w:pStyle w:val="Tre9ce6tekstu"/>
        <w:jc w:val="both"/>
        <w:rPr>
          <w:rFonts w:cstheme="minorBidi"/>
        </w:rPr>
      </w:pPr>
      <w:r>
        <w:rPr>
          <w:rFonts w:ascii="Times New Roman" w:hAnsi="Times New Roman" w:cs="Times New Roman"/>
          <w:sz w:val="28"/>
          <w:szCs w:val="28"/>
        </w:rPr>
        <w:t>Zobowiązując organ do ponownej oceny wniosku skarżącej, Sąd wskazał na konieczność dogłębnej analizy służby w zakresie szczególnych i wybitnych osiągnięć oraz obecnej sytuacji zdrowotnej i życiowej skarżącej, przy uwzględnieniu, że  zaistniały przesłanki do zastosowania wyłączenia spod ustawy represyjnej, o którym mowa w art. 8a ustawy zaopatrzeniowej.</w:t>
      </w:r>
    </w:p>
    <w:p w:rsidR="00265E80" w:rsidRDefault="00265E80" w:rsidP="00265E80">
      <w:pPr>
        <w:pStyle w:val="Tre9ce6tekstu"/>
        <w:jc w:val="both"/>
        <w:rPr>
          <w:rFonts w:cstheme="minorBidi"/>
          <w:b/>
          <w:bCs/>
        </w:rPr>
      </w:pPr>
    </w:p>
    <w:p w:rsidR="00265E80" w:rsidRDefault="00265E80" w:rsidP="00265E80">
      <w:pPr>
        <w:pStyle w:val="Tre9ce6tekstu"/>
        <w:jc w:val="both"/>
        <w:rPr>
          <w:rFonts w:cstheme="minorBidi"/>
        </w:rPr>
      </w:pPr>
      <w:r>
        <w:rPr>
          <w:rFonts w:ascii="Times New Roman" w:hAnsi="Times New Roman" w:cs="Times New Roman"/>
          <w:b/>
          <w:bCs/>
          <w:sz w:val="28"/>
          <w:szCs w:val="28"/>
        </w:rPr>
        <w:t>Stanowisko Naczelnego Sadu Administracyjnego.</w:t>
      </w:r>
    </w:p>
    <w:p w:rsidR="00265E80" w:rsidRDefault="00265E80" w:rsidP="00265E80">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265E80" w:rsidRDefault="00265E80" w:rsidP="00265E80">
      <w:pPr>
        <w:pStyle w:val="Tre9ce6tekstu"/>
        <w:jc w:val="both"/>
        <w:rPr>
          <w:rFonts w:cstheme="minorBidi"/>
        </w:rPr>
      </w:pPr>
      <w:r>
        <w:rPr>
          <w:rFonts w:ascii="Times New Roman" w:hAnsi="Times New Roman" w:cs="Times New Roman"/>
          <w:sz w:val="28"/>
          <w:szCs w:val="28"/>
        </w:rPr>
        <w:t>- "szczególnie uzasadnione przypadki",</w:t>
      </w:r>
    </w:p>
    <w:p w:rsidR="00265E80" w:rsidRDefault="00265E80" w:rsidP="00265E80">
      <w:pPr>
        <w:pStyle w:val="Tre9ce6tekstu"/>
        <w:jc w:val="both"/>
        <w:rPr>
          <w:rFonts w:cstheme="minorBidi"/>
        </w:rPr>
      </w:pPr>
      <w:r>
        <w:rPr>
          <w:rFonts w:ascii="Times New Roman" w:hAnsi="Times New Roman" w:cs="Times New Roman"/>
          <w:sz w:val="28"/>
          <w:szCs w:val="28"/>
        </w:rPr>
        <w:t>- "krótkotrwała służba",</w:t>
      </w:r>
    </w:p>
    <w:p w:rsidR="00265E80" w:rsidRDefault="00265E80" w:rsidP="00265E80">
      <w:pPr>
        <w:pStyle w:val="Tre9ce6tekstu"/>
        <w:jc w:val="both"/>
        <w:rPr>
          <w:rFonts w:cstheme="minorBidi"/>
        </w:rPr>
      </w:pPr>
      <w:r>
        <w:rPr>
          <w:rFonts w:ascii="Times New Roman" w:hAnsi="Times New Roman" w:cs="Times New Roman"/>
          <w:sz w:val="28"/>
          <w:szCs w:val="28"/>
        </w:rPr>
        <w:t>- "rzetelne wykonywanie zadań i obowiązków",</w:t>
      </w:r>
    </w:p>
    <w:p w:rsidR="00265E80" w:rsidRDefault="00265E80" w:rsidP="00265E80">
      <w:pPr>
        <w:pStyle w:val="Tre9ce6tekstu"/>
        <w:rPr>
          <w:rFonts w:cstheme="minorBidi"/>
        </w:rPr>
      </w:pPr>
      <w:bookmarkStart w:id="0" w:name="__DdeLink__1065_1257294714"/>
      <w:bookmarkEnd w:id="0"/>
      <w:r>
        <w:rPr>
          <w:rFonts w:ascii="Times New Roman" w:hAnsi="Times New Roman" w:cs="Times New Roman"/>
          <w:sz w:val="28"/>
          <w:szCs w:val="28"/>
        </w:rPr>
        <w:t xml:space="preserve">-  "służba na rzecz totalitarnego państwa", </w:t>
      </w:r>
    </w:p>
    <w:p w:rsidR="00265E80" w:rsidRDefault="00265E80" w:rsidP="00265E80">
      <w:pPr>
        <w:pStyle w:val="Tre9ce6tekstu"/>
        <w:rPr>
          <w:rFonts w:cstheme="minorBidi"/>
        </w:rPr>
      </w:pPr>
      <w:r>
        <w:rPr>
          <w:rFonts w:ascii="Times New Roman" w:hAnsi="Times New Roman" w:cs="Times New Roman"/>
          <w:sz w:val="28"/>
          <w:szCs w:val="28"/>
          <w:u w:val="single"/>
        </w:rPr>
        <w:t>Szczególnie uzasadnione przypadki</w:t>
      </w:r>
    </w:p>
    <w:p w:rsidR="00265E80" w:rsidRDefault="00265E80" w:rsidP="00265E80">
      <w:pPr>
        <w:pStyle w:val="Tre9ce6tekstu"/>
        <w:jc w:val="both"/>
        <w:rPr>
          <w:rFonts w:cstheme="minorBidi"/>
        </w:rPr>
      </w:pPr>
      <w:r>
        <w:rPr>
          <w:rFonts w:ascii="Times New Roman" w:hAnsi="Times New Roman" w:cs="Times New Roman"/>
          <w:sz w:val="28"/>
          <w:szCs w:val="28"/>
        </w:rPr>
        <w:t>Są to przypadki, gdy działalność takiej osoby nie charakteryzowała się zaangażowaniem w działalność właściwą TP, a była aktywnością ograniczającą się do zwykłych, standardowych działań podejmowanych w służbie publicznej.</w:t>
      </w:r>
    </w:p>
    <w:p w:rsidR="00265E80" w:rsidRDefault="00265E80" w:rsidP="00265E80">
      <w:pPr>
        <w:pStyle w:val="Tre9ce6tekstu"/>
        <w:jc w:val="both"/>
        <w:rPr>
          <w:rFonts w:cstheme="minorBidi"/>
        </w:rPr>
      </w:pPr>
      <w:r>
        <w:rPr>
          <w:rFonts w:ascii="Times New Roman" w:hAnsi="Times New Roman" w:cs="Times New Roman"/>
          <w:sz w:val="28"/>
          <w:szCs w:val="28"/>
          <w:u w:val="single"/>
        </w:rPr>
        <w:t>Krótkotrwała służba</w:t>
      </w:r>
    </w:p>
    <w:p w:rsidR="00265E80" w:rsidRDefault="00265E80" w:rsidP="00265E80">
      <w:pPr>
        <w:pStyle w:val="Tre9ce6tekstu"/>
        <w:jc w:val="both"/>
        <w:rPr>
          <w:rFonts w:cstheme="minorBidi"/>
        </w:rPr>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265E80" w:rsidRDefault="00265E80" w:rsidP="00265E80">
      <w:pPr>
        <w:pStyle w:val="Tre9ce6tekstu"/>
        <w:jc w:val="both"/>
        <w:rPr>
          <w:rFonts w:cstheme="minorBidi"/>
        </w:rPr>
      </w:pPr>
      <w:r>
        <w:rPr>
          <w:rFonts w:ascii="Times New Roman" w:hAnsi="Times New Roman" w:cs="Times New Roman"/>
          <w:sz w:val="28"/>
          <w:szCs w:val="28"/>
        </w:rPr>
        <w:t xml:space="preserve">Jako pewna wskazówka interpretacyjna może w tym zakresie służyć treść art. 13c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ustawy zaopatrzeniowej. Ustawodawca nie uznaje służby rozpoczętej od dnia 12 września 1989 r. do 31 lipca 1990 r. jako służby na rzecz TP (10 miesięcy). Należy wnioskować, że wg ustawodawcy osoby, które rozpoczęły służbę w tym czasie (w czasie trwania TP) nie podlegają restrykcjom ustawy – bo pełniły ją krótkotrwale. Nie oznacza to jednak, że również służba wyrażana w latach nie będzie mogła być w realiach indywidualnej sprawy uznana za służbę krótkotrwałą. </w:t>
      </w:r>
    </w:p>
    <w:p w:rsidR="00265E80" w:rsidRDefault="00265E80" w:rsidP="00265E80">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265E80" w:rsidRDefault="00265E80" w:rsidP="00265E80">
      <w:pPr>
        <w:pStyle w:val="Tre9ce6tekstu"/>
        <w:jc w:val="both"/>
        <w:rPr>
          <w:rFonts w:cstheme="minorBidi"/>
        </w:rPr>
      </w:pPr>
      <w:r>
        <w:rPr>
          <w:rFonts w:ascii="Times New Roman" w:hAnsi="Times New Roman" w:cs="Times New Roman"/>
          <w:sz w:val="28"/>
          <w:szCs w:val="28"/>
        </w:rPr>
        <w:t xml:space="preserve">Działać "rzetelnie" to działać dokładnie, należycie, uczciwie  czyli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265E80" w:rsidRDefault="00265E80" w:rsidP="00265E80">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265E80" w:rsidRDefault="00265E80" w:rsidP="00265E80">
      <w:pPr>
        <w:pStyle w:val="Tre9ce6tekstu"/>
        <w:jc w:val="both"/>
        <w:rPr>
          <w:rFonts w:cstheme="minorBidi"/>
        </w:rPr>
      </w:pPr>
      <w:r>
        <w:rPr>
          <w:rFonts w:ascii="Times New Roman" w:hAnsi="Times New Roman" w:cs="Times New Roman"/>
          <w:sz w:val="28"/>
          <w:szCs w:val="28"/>
        </w:rPr>
        <w:t xml:space="preserve">Dla oceny rzetelności nie jest również konieczne wykazywanie działania z narażeniem zdrowia i życia, chociaż niewątpliwie również takie działania mogą przemawiać za rzetelnością wykonywania zadań i obowiązków. </w:t>
      </w:r>
    </w:p>
    <w:p w:rsidR="00265E80" w:rsidRDefault="00265E80" w:rsidP="00265E80">
      <w:pPr>
        <w:pStyle w:val="Tre9ce6tekstu"/>
        <w:jc w:val="both"/>
        <w:rPr>
          <w:rFonts w:cstheme="minorBidi"/>
        </w:rPr>
      </w:pPr>
      <w:r>
        <w:rPr>
          <w:rFonts w:ascii="Times New Roman" w:hAnsi="Times New Roman" w:cs="Times New Roman"/>
          <w:sz w:val="28"/>
          <w:szCs w:val="28"/>
        </w:rPr>
        <w:t xml:space="preserve">Gdyby bowiem ustawodawca zawężał kryterium rzetelności wyłącznie do osób pełniących służbę z narażeniem zdrowia i życia, to co najmniej pominąłby zwrot "w szczególności". Nie jest to więc wyłączna kwalifikacja, która może decydować o rzetelności. Zatem nie jest wykluczone stwierdzenie rzetelności wykonywania zadań i obowiązków służbowych w przypadku niestwierdzenia okoliczności faktycznego narażania zdrowia i życia. </w:t>
      </w:r>
    </w:p>
    <w:p w:rsidR="00265E80" w:rsidRDefault="00265E80" w:rsidP="00265E80">
      <w:pPr>
        <w:pStyle w:val="Tre9ce6tekstu"/>
        <w:rPr>
          <w:rFonts w:cstheme="minorBidi"/>
        </w:rPr>
      </w:pPr>
      <w:r>
        <w:rPr>
          <w:rFonts w:ascii="Times New Roman" w:hAnsi="Times New Roman" w:cs="Times New Roman"/>
          <w:sz w:val="28"/>
          <w:szCs w:val="28"/>
          <w:u w:val="single"/>
        </w:rPr>
        <w:t>Służba na rzecz TP</w:t>
      </w:r>
    </w:p>
    <w:p w:rsidR="00265E80" w:rsidRDefault="00265E80" w:rsidP="00265E80">
      <w:pPr>
        <w:pStyle w:val="Tre9ce6tekstu"/>
        <w:jc w:val="both"/>
        <w:rPr>
          <w:rFonts w:cstheme="minorBidi"/>
        </w:rPr>
      </w:pPr>
      <w:r>
        <w:rPr>
          <w:rFonts w:ascii="Times New Roman" w:hAnsi="Times New Roman" w:cs="Times New Roman"/>
          <w:sz w:val="28"/>
          <w:szCs w:val="28"/>
        </w:rPr>
        <w:t>Zgodnie z art. 13b ust. 1 i 2 ustawy zaopatrzeniowej - służba na rzecz TP to służba od dnia 22 lipca 1944 r. do dnia 31 lipca 1990 r. w wymienionych w ustawie cywilnych i wojskowych instytucjach i formacjach oraz służba na etatach oraz w ramach szkoleń, kursów, a także oddelegowania w określonych instytucjach, wskazanych w ustawie, chyba że służba ta rozpoczęła się po raz pierwszy nie wcześniej niż w dniu 12 września 1989 r. bądź której obowiązek wynikał z przepisów o powszechnym obowiązku obrony (art. 13c ustawy zaopatrzeniowej).</w:t>
      </w:r>
    </w:p>
    <w:p w:rsidR="00265E80" w:rsidRDefault="00265E80" w:rsidP="00265E80">
      <w:pPr>
        <w:pStyle w:val="Tre9ce6tekstu"/>
        <w:jc w:val="both"/>
        <w:rPr>
          <w:rFonts w:cstheme="minorBidi"/>
        </w:rPr>
      </w:pPr>
      <w:r>
        <w:rPr>
          <w:rFonts w:ascii="Times New Roman" w:hAnsi="Times New Roman" w:cs="Times New Roman"/>
          <w:sz w:val="28"/>
          <w:szCs w:val="28"/>
        </w:rPr>
        <w:t>NSA zauważa, że charakteru służby "na rzecz" TP nie przejawia aktywność, która - ogranicza się do zwykłych, standardowych działań podejmowanych w służbie publicznej, tj. służbie na rzecz państwa jako takiego, bez bezpośredniego zaangażowania w realizację specyficznych  podstaw ustrojowych zadań i funkcji tego państwa.</w:t>
      </w:r>
    </w:p>
    <w:p w:rsidR="00265E80" w:rsidRDefault="00265E80" w:rsidP="00265E80">
      <w:pPr>
        <w:pStyle w:val="Tre9ce6tekstu"/>
        <w:spacing w:after="0"/>
        <w:jc w:val="both"/>
        <w:rPr>
          <w:rFonts w:cstheme="minorBidi"/>
        </w:rPr>
      </w:pPr>
      <w:r>
        <w:rPr>
          <w:rFonts w:ascii="Times New Roman" w:hAnsi="Times New Roman" w:cs="Times New Roman"/>
          <w:sz w:val="28"/>
          <w:szCs w:val="28"/>
        </w:rPr>
        <w:t>Przyjęcie, że przesłanką do uznania, że służba była pełniona na rzecz TP z uwagi na czas i miejsce jej pełnienia - jest nie do zaakceptowania z punktu widzenia standardów demokratycznego państwa prawnego, które powinno indywidualizować sytuację obywateli, a nie wprowadzać odpowiedzialności zbiorowej.</w:t>
      </w:r>
    </w:p>
    <w:p w:rsidR="00265E80" w:rsidRDefault="00265E80" w:rsidP="00265E80">
      <w:pPr>
        <w:pStyle w:val="Tre9ce6tekstu"/>
        <w:spacing w:after="0"/>
        <w:jc w:val="both"/>
        <w:rPr>
          <w:rFonts w:cstheme="minorBidi"/>
        </w:rPr>
      </w:pPr>
      <w:r>
        <w:rPr>
          <w:rFonts w:ascii="Times New Roman" w:hAnsi="Times New Roman" w:cs="Times New Roman"/>
          <w:sz w:val="28"/>
          <w:szCs w:val="28"/>
        </w:rPr>
        <w:t>Okoliczność ta powoduje, że istnieje potrzeba badania konkretnych spraw indywidualnych osób dla rozgraniczenia czy:</w:t>
      </w:r>
    </w:p>
    <w:p w:rsidR="00265E80" w:rsidRDefault="00265E80" w:rsidP="00265E80">
      <w:pPr>
        <w:pStyle w:val="Tre9ce6tekstu"/>
        <w:spacing w:after="0"/>
        <w:jc w:val="both"/>
        <w:rPr>
          <w:rFonts w:cstheme="minorBidi"/>
        </w:rPr>
      </w:pPr>
      <w:r>
        <w:rPr>
          <w:rFonts w:ascii="Times New Roman" w:hAnsi="Times New Roman" w:cs="Times New Roman"/>
          <w:sz w:val="28"/>
          <w:szCs w:val="28"/>
        </w:rPr>
        <w:t>- osoba bezpośrednio angażowała się w realizację zadań i funkcji państwa totalitarnego, tj. której postawa z dzisiejszej perspektywy aksjologicznej jest oceniana negatywnie,</w:t>
      </w:r>
    </w:p>
    <w:p w:rsidR="00265E80" w:rsidRDefault="00265E80" w:rsidP="00265E80">
      <w:pPr>
        <w:pStyle w:val="Tre9ce6tekstu"/>
        <w:spacing w:after="0"/>
        <w:jc w:val="both"/>
        <w:rPr>
          <w:rFonts w:cstheme="minorBidi"/>
        </w:rPr>
      </w:pPr>
      <w:r>
        <w:rPr>
          <w:rFonts w:ascii="Times New Roman" w:hAnsi="Times New Roman" w:cs="Times New Roman"/>
          <w:sz w:val="28"/>
          <w:szCs w:val="28"/>
        </w:rPr>
        <w:t>czy też</w:t>
      </w:r>
    </w:p>
    <w:p w:rsidR="00265E80" w:rsidRDefault="00265E80" w:rsidP="00265E80">
      <w:pPr>
        <w:pStyle w:val="Tre9ce6tekstu"/>
        <w:spacing w:after="0"/>
        <w:jc w:val="both"/>
        <w:rPr>
          <w:rFonts w:cstheme="minorBidi"/>
        </w:rPr>
      </w:pPr>
      <w:r>
        <w:rPr>
          <w:rFonts w:ascii="Times New Roman" w:hAnsi="Times New Roman" w:cs="Times New Roman"/>
          <w:sz w:val="28"/>
          <w:szCs w:val="28"/>
        </w:rPr>
        <w:t>- osoba, której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265E80" w:rsidRDefault="00265E80" w:rsidP="00265E80">
      <w:pPr>
        <w:pStyle w:val="Tre9ce6tekstu"/>
        <w:spacing w:after="0"/>
        <w:jc w:val="both"/>
        <w:rPr>
          <w:rFonts w:cstheme="minorBidi"/>
        </w:rPr>
      </w:pPr>
    </w:p>
    <w:p w:rsidR="00265E80" w:rsidRDefault="00265E80" w:rsidP="00265E80">
      <w:pPr>
        <w:pStyle w:val="Tre9ce6tekstu"/>
        <w:spacing w:after="0"/>
        <w:jc w:val="both"/>
        <w:rPr>
          <w:rFonts w:cstheme="minorBidi"/>
        </w:rPr>
      </w:pPr>
      <w:r>
        <w:rPr>
          <w:rFonts w:ascii="Times New Roman" w:hAnsi="Times New Roman" w:cs="Times New Roman"/>
          <w:b/>
          <w:bCs/>
          <w:sz w:val="28"/>
          <w:szCs w:val="28"/>
        </w:rPr>
        <w:t>Podsumowanie</w:t>
      </w:r>
    </w:p>
    <w:p w:rsidR="00265E80" w:rsidRDefault="00265E80" w:rsidP="00265E80">
      <w:pPr>
        <w:pStyle w:val="Tre9ce6tekstu"/>
        <w:spacing w:after="0"/>
        <w:jc w:val="both"/>
        <w:rPr>
          <w:rFonts w:cstheme="minorBidi"/>
        </w:rPr>
      </w:pPr>
      <w:r>
        <w:rPr>
          <w:rFonts w:ascii="Times New Roman" w:hAnsi="Times New Roman" w:cs="Times New Roman"/>
          <w:sz w:val="28"/>
          <w:szCs w:val="28"/>
        </w:rPr>
        <w:t>Minister Spraw Wewnętrznych i Administracji musi wydać nową decyzję w sprawie E.W. uwzględniając przebieg jej służby, kierując się w/w wskazaniami  WSA i NSA, z których wynika, że  zaistniały przesłanki do zastosowania wyłączenia spod ustawy represyjnej, o którym mowa w art. 8a ustawy zaopatrzeniowej.</w:t>
      </w:r>
    </w:p>
    <w:p w:rsidR="00265E80" w:rsidRDefault="00265E80" w:rsidP="00265E80">
      <w:pPr>
        <w:pStyle w:val="Tre9ce6tekstu"/>
        <w:spacing w:after="0"/>
        <w:jc w:val="both"/>
        <w:rPr>
          <w:rFonts w:cstheme="minorBidi"/>
        </w:rPr>
      </w:pPr>
    </w:p>
    <w:p w:rsidR="0082070A" w:rsidRDefault="0082070A"/>
    <w:sectPr w:rsidR="0082070A" w:rsidSect="00265E80">
      <w:pgSz w:w="11906" w:h="16838"/>
      <w:pgMar w:top="1134" w:right="1134" w:bottom="1134" w:left="1134"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65E80"/>
    <w:rsid w:val="00265E80"/>
    <w:rsid w:val="00820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80"/>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265E80"/>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265E80"/>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6382</Characters>
  <Application>Microsoft Office Word</Application>
  <DocSecurity>0</DocSecurity>
  <Lines>53</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2020-05-02T12:08:00Z</dcterms:created>
  <dcterms:modified xsi:type="dcterms:W3CDTF">2020-05-02T12:09:00Z</dcterms:modified>
</cp:coreProperties>
</file>