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E1" w:rsidRPr="002F6039" w:rsidRDefault="002F6039" w:rsidP="002F6039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F6039">
        <w:rPr>
          <w:rFonts w:ascii="Times New Roman" w:hAnsi="Times New Roman" w:cs="Times New Roman"/>
          <w:b/>
          <w:sz w:val="28"/>
          <w:szCs w:val="28"/>
          <w:highlight w:val="white"/>
          <w:lang w:eastAsia="pl-PL"/>
        </w:rPr>
        <w:t xml:space="preserve">Znalezione w </w:t>
      </w:r>
      <w:proofErr w:type="spellStart"/>
      <w:r w:rsidRPr="002F6039">
        <w:rPr>
          <w:rFonts w:ascii="Times New Roman" w:hAnsi="Times New Roman" w:cs="Times New Roman"/>
          <w:b/>
          <w:sz w:val="28"/>
          <w:szCs w:val="28"/>
          <w:highlight w:val="white"/>
          <w:lang w:eastAsia="pl-PL"/>
        </w:rPr>
        <w:t>internecie</w:t>
      </w:r>
      <w:proofErr w:type="spellEnd"/>
      <w:r w:rsidRPr="002F6039">
        <w:rPr>
          <w:rFonts w:ascii="Times New Roman" w:hAnsi="Times New Roman" w:cs="Times New Roman"/>
          <w:b/>
          <w:sz w:val="28"/>
          <w:szCs w:val="28"/>
          <w:highlight w:val="white"/>
          <w:lang w:eastAsia="pl-PL"/>
        </w:rPr>
        <w:t xml:space="preserve"> – Kilka komentarzy prywatnych w sprawie</w:t>
      </w:r>
    </w:p>
    <w:p w:rsidR="007042E1" w:rsidRDefault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Konsekwentnie podnoszę, iż aby iść do przodu i w efekcie końcowym wygrać sprawę, musimy wpierw zastanowić się nad przyczynami klęski poniesionej w trakcie spraw związanych z obniżką emerytur wprowadzoną  ustawą z 2009 r., bowiem zauważam, iż niektórzy mece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nasi ponownie namawiają do powtórzenia  argumentacji i postępowania, które doprowadziło już raz do naszej  klęski. Proszę o przeczytanie wyroku TK z 2010 r. i decyzji Strasburga z 2013 r., gdyż moim zdaniem musimy zwrócić uwagę na dwa elementy, o których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ikt dotychczas głośno nie mówi, gdyż  po pierwsze, jesteśmy jedynym krajem wschodnioeuropejskim, który wprowadził ustawę z represjami politycznymi i ekonomicznymi w stosunku do wybranych przez IPN emerytów mundurowych odnoszące się za nienaganna pracę po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990 roku dla kraju, po drugie zauważyłem, iż część prawników pragnie aktualnie powtórzyć argumenty poprzednio już podnoszone odnoszące się do naruszeń postanowień Konstytucji i prawa unijnego, które w efekcie końcowym doprowadziły do naszej klęski.  Zatem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– moim zdaniem - dopóki nie wyciągniemy wniosków związanych z klęską w trakcie walki z obniżką emerytur z ustawą z 2009 roku, to nie ma sensu iść do przodu, bowiem nie osiągniemy zamierzonego sukcesu. A my znowu rwiemy się do przodu nie wyciągając wniosków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z niedawnej klęski.  Proszę zauważyć, iż niektórzy mecenasi chcą znowu powtarzać i podnosić omówione już poprzednio argumenty prawne, w szczególności odnoszące się do naruszeń przepisów procesowych w konstytucji, a to może  w najlepszym przypadku skończyć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się wysłaniem pytania prawnego do TK przez Sąd Okręgowy i mamy wówczas sprawę „pozmiataną" na terenie kraju.  Proszę zwrócić uwagę, że w tzw. mapie drogowej autorzy opinii  dużo miejsca poświęcono możliwości wniesienia sprawy przed TK całkowicie zapominaj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ąc o SN.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Uzyskanie uchwały Sądu Najwyższego stanowi zaś meritum na terenie kraju nad którym musimy się skupić w trakcie postępowań przed sądami krajowymi -  o ile nie jest już za późno.</w:t>
      </w:r>
    </w:p>
    <w:p w:rsidR="007042E1" w:rsidRDefault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Moim zdaniem po przeczytaniu wyroku TK z 2010 r.  i decyzji Strasburga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z 2013 r. nasuwają się dwa podstawowe – pierwszoplanowe błędy, które popełniliśmy: po pierwsze,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brak dokumentu  obalającego dokumenty, przedstawione dowody przez  stronę przeciwną (rządową)  - o tym iż nie ma tutaj żadnego przywileju.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Wprawdzie w obecnie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jak i poprzednio w sprawie wnoszono liczne pisma procesowe zawodowych pełnomocników, zawierające sążniste wywody, ale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brak było i nadal jest dowodu – opracowania całościowego tego zagadnienia przez uprawniony podmiot zgodnie z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. Aż mi było przykro słuch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ać wywiadu z policjantami z Wydziału GSG-9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Bundespolizei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highlight w:val="white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niemieckiej policji, którzy w wieku 45 lat muszą odejść ze służby w tej jednostce, w wywiadzie nie było mowy o jakichkolwiek przywilejach emerytalnych. Sprawą bezsporną dla wszystkich służb mundurow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ych jest to, że twierdzenie strony rządowej o rzekomych przywilejach emerytalnych jest tylko propagandowym nadużyciem niemającym nic wspólnego z zasadami współżycia społecznego jest to stwierdzenie nieprawdziwe i populistyczne. Wszyscy to wiedzą i co z teg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o, natomiast spójrzmy jakie są fakty z którymi musimy się liczyć w sprawie sądowej i które musimy obalić, a więc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mamy prawomocny i wiążący wyrok TK z 2010 r. i decyzję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 z 2013 r., a więc dwa prawomocne orzeczenia jednoznacznie stwierdzające, że te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nieuzasadnione przywileje istnieją.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Natomiast ze strony represjonowanych zamiast zastanowić się nad dostępnymi środkami dowodowymi w postępowaniu cywilnym w sprawie o obniżkę emerytury, to znowu zaczynamy o tym „ględzić" „gdakać" i wypisywać oczywiste oczy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wistości.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Zatem w naszej sprawie wiążące każdy sąd w kraju są dokumenty – dowody w postaci prawomocnych orzeczeń sądowych tj. TK, SN i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.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Dlatego ponownie podnoszę, że dla skutecznego zbicia podstawowych twierdzeń strony rządowej o posiadanych przywi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lejach zawartych  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lastRenderedPageBreak/>
        <w:t>dokumencie pod nazwą uzasadnienie do ustawy - w naszej sprawie  widziałbym podjęcie starań o opinię biegłego sądowego Sądu Okręgowego najlepiej w Warszawie, zawierające  wyliczenia matematyczne dokonane przez biegłego sądowego ds. księg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owości i ubezpieczeń społecznych, prosta opinia może kosztować ok. 3-5 tys. zł. Zgodnie z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opinia biegłego stanowi dowód w sprawie. Pisałem już także, iż na poziomie UE i Strasburga widziałbym przedłożenie opinii w tej sprawie wydanej przez międzynarodo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wą firmę audytorską tj. audyt finansowy  np. Ernst and Young lub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PwC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(w mojej ocenie to koszt min. ok. 10.000zł), po prostu z nimi na terenie unii europejskiej, a także w Brukseli się nie dyskutuje, te opinie przyjmuje się  na całym cywilizowanym świecie 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ako pewnik. O możliwości (potrzebie) przedłożenia takiej opinii przed Strasburgiem można znaleźć wzmiankę w tzw. mapie drogowej.  Ewentualnie proszę przemyśleć lepszą formę zbicia argumentów – dowodów strony rządowej o przywilejach, poprzez postępowanie są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dowe uboczne w sprawie o obniżenie emerytury, względnie o naruszenie dóbr osobistych - uwaga jest to możliwe dopiero po wydaniu decyzji emerytalnej, a więc skonkretyzowania osoby przez IPN  -  jednakże tutaj także  powinno się zasięgnąć rady prawnika specj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alisty w sprawie. Ale tutaj proszę się naradzić z prawnikami – cywilistami.</w:t>
      </w:r>
    </w:p>
    <w:p w:rsidR="007042E1" w:rsidRDefault="002F60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Proponuję wszystkim zainteresowanym aby sami spróbowali wyciągnąć wnioski z poprzedniej klęski,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dlatego w pierwszej kolejności zapoznajcie się z wyrokiem TK z 2010 r. sygn. K 6/09.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Z tego wyroku, a wręcz ze zdań odrębnych wynikają nasze potrzeby działania na przyszłość. Przykładowo: nie przedstawiono argumentów, nie przedstawiono dowodów. Z tego wyroku TK w jasny sposób wynika, gdzie popełniliśmy poprzednio błędy, do tego w mojej op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inii były to błędy podstawowe. Podobnej analizie należy poddać przyczyny klęski jaką ponieśliśmy w decyzji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z 2013 r., gdyż mam tutaj duże wątpliwości, bowiem wybrana została ponownie ta sama kancelaria do reprezentacji przed Strasburgiem, która ponio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sła klęskę, a jak na razie nie mogłem znaleźć jej wygranych wyroków przed Trybunałem w Strasburgu ani uzasadnienia dla jej wyboru. </w:t>
      </w:r>
    </w:p>
    <w:p w:rsidR="007042E1" w:rsidRDefault="002F603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Odnośnie, zaś opinii biegłego sądowego i co ona powinna zawierać, to moim zdaniem można, a właściwie to należy podnieść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opinii  i dokonać porównania według podobnych grup zatrudnienia np. służby mundurowe - podoficerowie, przecież wszyscy oni mają identyczny sposób naliczania emerytury.  Natomiast strona rządowa z wielkim krzykiem  porównała oficera, a tak naprawdę to gener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ała do pracownika niewykwalifikowanego,  który  do tego od 1990 roku tj. ponad 25 lat był na bezrobociu i za którego państwo opłacało składki ubezpieczeniowe. I zaczęli trąbić o niesprawiedliwości społecznej, a my do tego nie potrafimy tego obalić w sposób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zgodny z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, tylko – podobnie powtarzamy na okrągło - jak było z ustawą z 2009 r. w trakcie rozprawy przed TK w 2010 r. – mówimy i piszemy w rozwlekłych pismach procesowych. Dlatego jeszcze raz podnoszę zobaczcie jakie mamy środki dowodowe w trakcie proc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esów sądowych – cywilnych  z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dla obalenia ustaleń strony przeciwnej, gdyż już raz w pismach procesowych pełnomocników w trakcie spraw było to podnoszone i nic nie dało. Skończyło się tym, iż mamy dwa prawomocne wyroki. Pismo procesowe jest wyrażeniem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ewnego poglądu, a ja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konsekwentnie uważam, iż należy przedstawić dowody w sprawie.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Np. opinie biegłych lub lepszym sposobem jest przedłożenie do sprawy emerytalnej innych wyroków sądowych prostujące powyższe sprawy. Obalenie stanowiska IPN iż wprowadzono 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stawy represyjne i innych krajach. Np. proces o ochronę dóbr osobistych. W zakresie zobowiązania ministra MON (MSW) do zaprzestania prowadzenia nieuczciwej propagandy (wprowadzania opinii publicznej w błąd) i tym samym zobowiązania do zaprzestania naruszan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ia dobrego imienia żołnierzy zawodowych policjantów (lub indywidualnie sprawa prowadzona przez np. Pana gen. ...b. Szefa ...) wydaje się, iż mec.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lastRenderedPageBreak/>
        <w:t>R Giertych może być pomocny w sprawie np. w procesie ubocznym, iż nie służyłem, gdyż nie istniało w zarzucanym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mi okresie państwo totalitarne.</w:t>
      </w:r>
    </w:p>
    <w:p w:rsidR="007042E1" w:rsidRDefault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Po drugie, jesteśmy jedynym krajem w Europie, który wprowadził represyjną ustawę w stosunku do emerytur mundurowych wypracowanych po 1990 roku i to jest konkretny argument. Ale na poparcie tej tezy także nie ma dowodów,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tóre można przedstawić przed sądami i z którymi sądy muszą się liczyć. Za to mamy prawomocny wyrok TK. 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Poprzednio IPN wprowadził w błąd TK odnośnie ustaw represyjnych w innych krajach, ale na te stwierdzenia także musimy także przedstawić dowody.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Wyciągaj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ąc wnioski z poprzedniej ustawy z 2009 roku, oraz naszej klęski, aktualnie musimy przedstawić dowody, iż jest inaczej. O tej sprawie także pisałem, gdyż tutaj nie pomogą liczne i przydługawe wywody prawników, zawarte w pismach procesowych, bowiem to już pr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zerabialiśmy bez efektu, lecz konkretne dowody. Zobaczcie poprzednio TK w 2010 roku wydał wyrok opierając się o pismo IPN, podobnie postąpiło wiele składów sędziowskich w naszych sprawach. Przykładowo w Czechach – z tego co pamiętam - w 2011 r. miano wprow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adzić na wzór polskiej ustawy z 2009 r. represyjną ustawę. Projekt ustawy nigdy nie wyszedł z komisji. I tutaj należy uzyskać wydaną opinię parlamentu Czech  i opinie wydane w trakcie prac nad ustawą,  i je przedstawić do sprawy – uwierzytelnione tłumaczen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ia, ale także prześledzić dalszy ciąg ustawodawczy w Czechach i Słowacji, gdyż o ile pamiętam przegłosowano dwie – trzy ustawy o zadośćuczynieniu represjonowanym opozycjonistom i znowu należy przedstawić uwierzytelnione tłumaczenia uzasadnień do wprowadzen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ia tych ustaw. I zbierając te ważne dowody dla naszej sprawy znajdziecie następny ważny element „układanki" istotny argument w prawie europejskim - o niedopuszczalności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janosikowego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" jednym odbieram a drugim daje, bo mi się tak podoba z powołaniem na spra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wiedliwość społeczną z odrzuceniem podstawowej zasady praw nabytych i unijnego prawa własności.  Na zakończenie, przykładowo: sprawę Niemiec została już omówiona, jednakże można tam znaleźć także ważną wypowiedź, którą należy podnosić podczas naszych spraw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  <w:lang w:eastAsia="pl-PL"/>
        </w:rPr>
        <w:t>Niemiecki Federalny Trybunał Konstytucyjny w Karlsruhe uznał, że ustawodawca nie może usprawiedliwiać swych ewentualnych decyzji ograniczenia emerytur tym, że ofiary ustroju NRD otrzymują często niskie renty czy emerytury.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Lecz ten bardzo ważny dla nas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niosek, należy uwzględniać dodatkowo w całości sprawy tam rozpatrywanej, bowiem o tym „zapomniał" poinformować IPN w piśmie do TK w 2010 roku.</w:t>
      </w:r>
    </w:p>
    <w:p w:rsidR="007042E1" w:rsidRDefault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Sprawa związana z ustawą z 2016 r. jest bardzo podbramkowa, gdyż moim zdaniem jest to tylko poprawiona „na kola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nie" wersja poprzedniej ustawy z 2009 r.  – przynajmniej jej projekt. Aktualne  argumenty jakie podnoszą adwokaci są zbieżne, jeżeli nie tożsame do tych jakie podnosiliśmy w sprawie związanej z ustawą z 2009 roku, proszę zobaczyć i przeczytać poprzednie 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teriały - jeszcze istnieją 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– o efekcie końcowym, a właściwie to klęsce  nie chcę wspominać, gdyż uważam, że wówczas mogliśmy wygrać. Proszę nie strzelajcie sobie samobója w grze. Jeszcze raz zachęcam do analizy przyczyn poniesionej klęski zwią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zanej z ustawą z 2009 roku, bez tej analizy przegramy aktualną sprawę związaną z wprowadzonymi represjami politycznymi i ekonomicznymi w stosunku do wybranych przez IPN grupy emerytów wprowadzoną represyjną ustawą  z 2016 roku.</w:t>
      </w:r>
    </w:p>
    <w:p w:rsidR="007042E1" w:rsidRDefault="002F6039" w:rsidP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Przedstawiam kilka koment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arzy prywatnych odnośnie opinii prawnej  adw. M. Gąsiorowskiej oraz tzw. mapa drogowa opublikowanych na stronie internetowej FSSM. Wspomniane dwie opnie prawne uzyskane przez FSSM z całą pewnością są niezbędne w dalszej walce  z obniżką emerytur.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>Podziwiam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pl-PL"/>
        </w:rPr>
        <w:t xml:space="preserve"> kunszt i fachowość Pani adw. M. Gąsiorowskiej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, gdyż w sposób bardzo przystępny wytłumaczyła wysoce zawiłe, a  interesujące nas zagadnienia. W uzupełnieniu jej opinii pozwalam sobie przesłać moje uwagi odnośnie terminów i sposobów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lastRenderedPageBreak/>
        <w:t>wniesienia skargi do Stra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sburga, ze względu na rozbieżności omawiane na forum policyjnym. Wspominam także o możliwości uzyskania wyroku pilotażowego oraz skarg „zbiorowych" a tak naprawdę skarg indywidualnych wysyłanych przez poszczególne kancelarie – grupowo. Powołując się na str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ony internetowe Strasburga, a więc informacje źródłowe wskazuję także na łatwość w dostępie podstawowych informacji w tym zakresie - ogólnie dostępnych danych 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potrzebnych każdemu dotkniętemu ustawą represyjną.</w:t>
      </w:r>
    </w:p>
    <w:p w:rsidR="007042E1" w:rsidRDefault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W sprawie drugiej opinii tzw. map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y drogowej, to spełni ona swoja rolę, ale jak zaznaczyli autorzy jako mapa, natomiast my sami musimy wybierać drogę po której będziemy się poruszać i do tego korygować nasze postępowanie do szybko zmieniającej się rzeczywistości w naszym kraju. Odnośnie 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ś merytorycznej treści  zawartej w mapie, to wskażę tylko, iż podobne dokumenty znajdują się we wszystkich większych oraz korporacyjnych kancelariach adwokackich. Tutaj miałem wrażenie, iż aplikant radcowski dostosował  dokumenty wewnętrzne kancelarii do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aszych potrzeb za bardzo nie obejmując naszej specyfiki, tj. „przełożenia" pomiędzy prawem i praktyką związaną z emeryturami służb mundurowych, w tym prawem do zabezpieczenia społecznego służb mundurowych, w powiązaniu z prawem administracyjnym, prawem słu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żb mundurowych (pragmatykami służbowymi). W mojej ocenie zabrakło przełożenia końcowego na prawo cywilne. Podobne uwagi mam do opinii mec. Przyborowskiej, która wydaje się, iż specjalizuje się w celnikach, medykach i ich specyfice zatrudnienia. Natomiast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awarte w mapie przydługawe rozważania odnośnie postępowania przed TK i ONZ traktuję wyłącznie informacyjnie, bowiem jak jasno wynika z opinii adw. M. Gąsiorowskiej poruszmy się w bardzo delikatnej materii.</w:t>
      </w:r>
    </w:p>
    <w:p w:rsidR="007042E1" w:rsidRDefault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Uważam także, że mapa drogowa powinna zostać pilni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e uzupełniona o możliwości wystąpienia w aktualnej rzeczywistości do Sądu Najwyższego. Odnośnie zaś tzw. mapy drogowej, to brak tam jest opracowania dotyczącego uzyskania uchwały Sądu Najwyższego. O ile w przypadku Trybunału Konstytucyjnego wymieniono tam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w sposób enumeratywny możliwości uzyskania wyroku,- tylko w jakim celu? - to w przypadku Sądu Najwyższego sprawę pominięto. Sprawa związana z postępowaniem przed SN jest dla nas o wiele ważniejsza niż przydługawe i teoretyczne rozważania odnośnie  TK. Uważ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am, iż najważniejszą sprawą w trakcie drogi sądowej na terenie kraju, będzie uzyskanie jak najszybciej stanowiska Sądu Najwyższego w sprawie ustawy restrykcyjnej z 2016 r. oraz problem czy zdążymy przed zawłaszczeniem SN przez obecną władzę?</w:t>
      </w:r>
    </w:p>
    <w:p w:rsidR="007042E1" w:rsidRPr="002F6039" w:rsidRDefault="002F6039" w:rsidP="002F6039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nalazłem także interesującą wypowiedź, która nie będę komentował, bowiem nie znam motywów podania tej informacji.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  <w:lang w:eastAsia="pl-PL"/>
        </w:rPr>
        <w:t>Kancelaria Adwokacka Tomasz Koncewicz (Gdańsk) d/ już teraz, pilnie mamy 6 miesięcy od wejścia ustawy w życie na skargę do Trybunału w Strasbu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  <w:lang w:eastAsia="pl-PL"/>
        </w:rPr>
        <w:t>rgu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. „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  <w:lang w:eastAsia="pl-PL"/>
        </w:rPr>
        <w:t>- jak wcześniej podano - wybrane osoby i skargi  do Strasburga już teraz"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 Mając na względzie powyższe wypowiedzi, oraz niepotwierdzoną informację, iż kancelaria adw. Koncewicza ze strony FSSM prowadziła w związku z ustawą z 2009 roku oraz aktualnie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będzie prowadzić nasze sprawy w Strasburgu w związku z ustawą z 2016 r., ponieważ jak wynika ze strony internetowej kancelarii jest to naprawdę wyśmienita kancelaria w trójmieście, jednakże  zwróciłem uwagę, że nasza sprawa zakończona niepowodzeniem w Stra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sburgu była na początku 2017 roku wymieniona jako najważniejsza sprawa prowadzona przez kancelarię, zaraz po połowie dorsza na Bałtyku. </w:t>
      </w:r>
      <w:hyperlink r:id="rId4" w:anchor="sprawy_kancelarii" w:history="1">
        <w:r>
          <w:rPr>
            <w:rStyle w:val="czeinternetowe"/>
            <w:rFonts w:ascii="Times New Roman" w:eastAsia="Times New Roman" w:hAnsi="Times New Roman" w:cs="Times New Roman"/>
            <w:color w:val="0186BA"/>
            <w:sz w:val="24"/>
            <w:szCs w:val="24"/>
            <w:highlight w:val="white"/>
            <w:lang w:eastAsia="pl-PL"/>
          </w:rPr>
          <w:t>http://tomasz-koncew</w:t>
        </w:r>
        <w:r>
          <w:rPr>
            <w:rStyle w:val="czeinternetowe"/>
            <w:rFonts w:ascii="Times New Roman" w:eastAsia="Times New Roman" w:hAnsi="Times New Roman" w:cs="Times New Roman"/>
            <w:color w:val="0186BA"/>
            <w:sz w:val="24"/>
            <w:szCs w:val="24"/>
            <w:highlight w:val="white"/>
            <w:lang w:eastAsia="pl-PL"/>
          </w:rPr>
          <w:t>i</w:t>
        </w:r>
        <w:r>
          <w:rPr>
            <w:rStyle w:val="czeinternetowe"/>
            <w:rFonts w:ascii="Times New Roman" w:eastAsia="Times New Roman" w:hAnsi="Times New Roman" w:cs="Times New Roman"/>
            <w:color w:val="0186BA"/>
            <w:sz w:val="24"/>
            <w:szCs w:val="24"/>
            <w:highlight w:val="white"/>
            <w:lang w:eastAsia="pl-PL"/>
          </w:rPr>
          <w:t>cz.eu/kancelaria/#sprawy_k</w:t>
        </w:r>
        <w:r>
          <w:rPr>
            <w:rStyle w:val="czeinternetowe"/>
            <w:rFonts w:ascii="Times New Roman" w:eastAsia="Times New Roman" w:hAnsi="Times New Roman" w:cs="Times New Roman"/>
            <w:color w:val="0186BA"/>
            <w:sz w:val="24"/>
            <w:szCs w:val="24"/>
            <w:highlight w:val="white"/>
            <w:lang w:eastAsia="pl-PL"/>
          </w:rPr>
          <w:t>ancelarii</w:t>
        </w:r>
      </w:hyperlink>
    </w:p>
    <w:p w:rsidR="002F6039" w:rsidRDefault="002F6039" w:rsidP="002F6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PS.</w:t>
      </w:r>
    </w:p>
    <w:p w:rsidR="007042E1" w:rsidRDefault="002F6039" w:rsidP="002F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Wracam ponownie do konieczności podjęcia kwestii reprezentacji (zawodowego pełnomocnika) dotkniętych emerytów represjami politycznymi przed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w Strasburgu,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lastRenderedPageBreak/>
        <w:t xml:space="preserve">gdyż istnieje wiele ostrych wymagających już teraz rozstrzygnięcia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spraw, przykładowo: za kilka lat będzie orzekał w naszych sprawach polski sędzia mianowany przez aktualną władzę, natomiast  sprawy na wstępnym etapie rozpatruje się jednoosobowo przez sędziego i do tego orzekał będzie właśnie polski sędzia w Strasburgu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anowany przez obecną władzę. Wciskanie emerytów dotkniętych represyjną ustawą pomiędzy kanapkę śledziową a połowy dorszowe uważam za nieadekwatne do aktualnej sytuacji,  gdyż w mojej ocenie  należy pilnie poszukiwać kancelarii prawnej  specjalizującej się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w sprawach toczących się przed Strasburgiem, która to kancelaria faktycznie potrafi się okazać dorobkiem w postaci kilku wygranych spraw przed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w Strasburgu, zamiast obietnicy jej solidnego prowadzenia, gdyż podobnie  przyrzeka każda kancelaria i każd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y prawnik. Jeszcze raz idzie mi o kancelarię prawną z pozytywnie zakończonymi sprawami przed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w Strasburgu, gdyż zawłaszcza charakter spraw i podnoszonych argumentów przed ETS w Luksemburgu jest nieadekwatny i nie można powoływać się na Luksemburg, gd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yż nie obejmuje on naszych spraw w większości są to sprawy podatkowe.</w:t>
      </w:r>
    </w:p>
    <w:p w:rsidR="007042E1" w:rsidRPr="002F6039" w:rsidRDefault="002F6039" w:rsidP="002F603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W mojej ocenie w pierwszej kolejności należy wyciągając wnioski ze spraw związanych z poprzednią ustawą z 2009 r. i naszą całkowitą klęską wyrażoną w  decyzji Strasburga z 2013 roku, kon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sekwentnie będę powtarzał, że powinniśmy podejść profesjonalnie do sprawy, poprzez  rozważenie zatrudnienia kancelarii adwokackiej z okolic Strasburga specjalizującej się w podobnych skargach przed Trybunałem w Strasburgu, ale uważam, że należy wybrać kanc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elarię z części niemieckiej, bowiem jest to podobny system prawa do naszego, a ich znajdujący się w pobliżu Federalny Trybunał Konstytucyjny z Karlsruhe analogiczne sprawy o obniżenie emerytury w służbach mundurowych już dawno przeanalizował, możemy także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powoływać się na jego wypowiedzi i analizy w podobnych do naszych sprawach, a z jego wypowiedziami liczy się także Strasburg, poza tym  z całą pewnością nie będzie problemów z komunikacją w języku angielskim oraz  czasami  po polsku, bo i tak znalazłem.  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eżeli idzie o kwoty jakie pobierają kancelarie z terenu Niemiec to wystarczy przejrzeć wyroki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ETPCz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 - pozytywnie zakończone i tam znajdziecie na końcu o zwrotach kosztów - wysokość wystawionych rachunków przez prawników niemieckich. A jeżeli i to będzie 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ło to można się zwrócić do podobnego stowarzyszenia znajdującego się na terenie Niemiec obsługującego sprawy emerytów mundurowych b. NRD. I się nie zdziwcie, iż nie są  drożsi, ale za to o wiele skuteczniej prowadzą sprawy od większości polskich kancelarii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 xml:space="preserve">.  „Przecież o wiele niższe ceny za usługę mają kancelarie adwokackie znajdujące się w okolicy Strasburga, specjalizujące się w tych skargach, przy tym można sformułować umowę za osiągnięcie efektu, natomiast w kraju zgodnie z ustawą o radcach opłacamy za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  <w:t>reprezentację przed sądem."</w:t>
      </w:r>
    </w:p>
    <w:sectPr w:rsidR="007042E1" w:rsidRPr="002F603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2E1"/>
    <w:rsid w:val="002F6039"/>
    <w:rsid w:val="007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D250-4BF2-4906-94DA-99979E5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7C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7F0B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qFormat/>
    <w:rsid w:val="000E0DD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E0DD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F0B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masz-koncewicz.eu/kancelar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2642</Words>
  <Characters>15858</Characters>
  <Application>Microsoft Office Word</Application>
  <DocSecurity>0</DocSecurity>
  <Lines>132</Lines>
  <Paragraphs>36</Paragraphs>
  <ScaleCrop>false</ScaleCrop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</dc:creator>
  <dc:description/>
  <cp:lastModifiedBy>Stowarzyszenie Emerytów</cp:lastModifiedBy>
  <cp:revision>3</cp:revision>
  <dcterms:created xsi:type="dcterms:W3CDTF">2018-05-16T19:06:00Z</dcterms:created>
  <dcterms:modified xsi:type="dcterms:W3CDTF">2018-05-23T20:23:00Z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