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28" w:rsidRPr="00306228" w:rsidRDefault="00B15C96" w:rsidP="00306228">
      <w:pPr>
        <w:rPr>
          <w:rFonts w:ascii="Times New Roman" w:hAnsi="Times New Roman" w:cs="Times New Roman"/>
          <w:sz w:val="24"/>
          <w:szCs w:val="24"/>
        </w:rPr>
      </w:pPr>
      <w:r w:rsidRPr="00306228">
        <w:rPr>
          <w:rFonts w:ascii="Times New Roman" w:hAnsi="Times New Roman" w:cs="Times New Roman"/>
          <w:sz w:val="24"/>
          <w:szCs w:val="24"/>
        </w:rPr>
        <w:fldChar w:fldCharType="begin"/>
      </w:r>
      <w:r w:rsidR="00306228" w:rsidRPr="00306228">
        <w:rPr>
          <w:rFonts w:ascii="Times New Roman" w:hAnsi="Times New Roman" w:cs="Times New Roman"/>
          <w:sz w:val="24"/>
          <w:szCs w:val="24"/>
        </w:rPr>
        <w:instrText xml:space="preserve"> HYPERLINK "http://docplayer.pl/32388328-Od-sluzby-bezpieczenstwa-do-urzedu-ochrony-panstwa.html" </w:instrText>
      </w:r>
      <w:r w:rsidRPr="00306228">
        <w:rPr>
          <w:rFonts w:ascii="Times New Roman" w:hAnsi="Times New Roman" w:cs="Times New Roman"/>
          <w:sz w:val="24"/>
          <w:szCs w:val="24"/>
        </w:rPr>
        <w:fldChar w:fldCharType="separate"/>
      </w:r>
      <w:r w:rsidR="00306228" w:rsidRPr="00306228">
        <w:rPr>
          <w:rStyle w:val="Hipercze"/>
          <w:rFonts w:ascii="Times New Roman" w:hAnsi="Times New Roman" w:cs="Times New Roman"/>
          <w:sz w:val="24"/>
          <w:szCs w:val="24"/>
        </w:rPr>
        <w:t>http://docplayer.pl/32388328-Od-sluzby-bezpieczenstwa-do-urzedu-ochrony-panstwa.html</w:t>
      </w:r>
      <w:r w:rsidRPr="00306228">
        <w:rPr>
          <w:rFonts w:ascii="Times New Roman" w:hAnsi="Times New Roman" w:cs="Times New Roman"/>
          <w:sz w:val="24"/>
          <w:szCs w:val="24"/>
        </w:rPr>
        <w:fldChar w:fldCharType="end"/>
      </w:r>
      <w:r w:rsidR="00306228" w:rsidRPr="00306228">
        <w:rPr>
          <w:rFonts w:ascii="Times New Roman" w:hAnsi="Times New Roman" w:cs="Times New Roman"/>
          <w:sz w:val="24"/>
          <w:szCs w:val="24"/>
        </w:rPr>
        <w:t xml:space="preserve"> </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rPr>
        <w:t>DZIEJE NAJNOWSZE, ROCZNIK XLVIII — 2016, 1 PL ISSN 0419–8824</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rPr>
        <w:t xml:space="preserve"> Rafał </w:t>
      </w:r>
      <w:proofErr w:type="spellStart"/>
      <w:r w:rsidRPr="00306228">
        <w:rPr>
          <w:rFonts w:ascii="Times New Roman" w:hAnsi="Times New Roman" w:cs="Times New Roman"/>
          <w:sz w:val="24"/>
          <w:szCs w:val="24"/>
        </w:rPr>
        <w:t>Leśkiewicz</w:t>
      </w:r>
      <w:proofErr w:type="spellEnd"/>
      <w:r w:rsidRPr="00306228">
        <w:rPr>
          <w:rFonts w:ascii="Times New Roman" w:hAnsi="Times New Roman" w:cs="Times New Roman"/>
          <w:sz w:val="24"/>
          <w:szCs w:val="24"/>
        </w:rPr>
        <w:t xml:space="preserve"> Warszawa </w:t>
      </w:r>
    </w:p>
    <w:p w:rsidR="00306228" w:rsidRPr="00306228" w:rsidRDefault="00306228" w:rsidP="00306228">
      <w:pPr>
        <w:rPr>
          <w:rFonts w:ascii="Times New Roman" w:hAnsi="Times New Roman" w:cs="Times New Roman"/>
          <w:b/>
          <w:sz w:val="24"/>
          <w:szCs w:val="24"/>
        </w:rPr>
      </w:pPr>
      <w:r w:rsidRPr="00306228">
        <w:rPr>
          <w:rFonts w:ascii="Times New Roman" w:hAnsi="Times New Roman" w:cs="Times New Roman"/>
          <w:b/>
          <w:sz w:val="24"/>
          <w:szCs w:val="24"/>
        </w:rPr>
        <w:t xml:space="preserve">Od Służby Bezpieczeństwa do Urzędu Ochrony Państwa* </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rPr>
        <w:t xml:space="preserve">* Niniejszy artykuł w wersji rozszerzonej i pod innym tytułem Formalnoprawne aspekty powstania Urzędu Ochrony Państwa ukazał się w wewnętrznym, okolicznościowym wydawnictwie Agencji Bezpieczeństwa Wewnętrznego (bez ISBN) zatytułowanym Urząd Ochrony Państwa 1990 2002, red. Z. Nawrocki, Warszawa 2015 </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rPr>
        <w:t>/…/</w:t>
      </w:r>
    </w:p>
    <w:p w:rsidR="00306228" w:rsidRPr="00306228" w:rsidRDefault="00306228" w:rsidP="00306228">
      <w:pPr>
        <w:rPr>
          <w:rFonts w:ascii="Times New Roman" w:hAnsi="Times New Roman" w:cs="Times New Roman"/>
          <w:b/>
          <w:sz w:val="24"/>
          <w:szCs w:val="24"/>
        </w:rPr>
      </w:pPr>
      <w:r w:rsidRPr="00306228">
        <w:rPr>
          <w:rFonts w:ascii="Times New Roman" w:hAnsi="Times New Roman" w:cs="Times New Roman"/>
          <w:b/>
          <w:sz w:val="24"/>
          <w:szCs w:val="24"/>
        </w:rPr>
        <w:t xml:space="preserve">Weryfikacja funkcjonariuszy SB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Weryfikacja funkcjonariuszy SB Rada Ministrów wydała kilka dni po wejściu w życie zarządzenia nr 043/90 uchwałę nr 69 z dnia 21 V 1990 r. w sprawie trybu i warunków przyjmowania byłych funkcjonariuszy Służby Bezpieczeństwa do służby w Urzędzie Ochrony Państwa i w innych jednostkach organizacyjnych podległych ministrowi spraw wewnętrznych oraz zatrudniania ich w Ministerstwie Spraw Wewnętrznych.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Uchwała została następnie uzupełniona zarządzeniem nr 51 ministra spraw wewnętrznych </w:t>
      </w:r>
      <w:r>
        <w:rPr>
          <w:rFonts w:ascii="Times New Roman" w:hAnsi="Times New Roman" w:cs="Times New Roman"/>
          <w:sz w:val="24"/>
          <w:szCs w:val="24"/>
        </w:rPr>
        <w:t xml:space="preserve">      </w:t>
      </w:r>
      <w:r w:rsidRPr="00306228">
        <w:rPr>
          <w:rFonts w:ascii="Times New Roman" w:hAnsi="Times New Roman" w:cs="Times New Roman"/>
          <w:sz w:val="24"/>
          <w:szCs w:val="24"/>
        </w:rPr>
        <w:t>z 25 VI 1990 r. w sprawie przeprowadzenia oceny byłych funkcjonariuszy Służby Bezpieczeństwa.</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 Uchwała nr 69 Rady Ministrów została wydana na podstawie art. 132 ustawy o UOP. Zgodnie z jej postanowieniami byli funkcjonariusze SB dostali możliwość podjęcia służby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w UOP, Policji lub innej jednostce organizacyjnej podległej ministrowi spraw wewnętrznych. Warunkiem było uzyskanie pozytywnej opinii właściwej komisji kwalifikacyjnej (odpowiednio: Centralnej, ds. kadr centralnych i wojewódzkiej). W uchwale określono, </w:t>
      </w:r>
      <w:r>
        <w:rPr>
          <w:rFonts w:ascii="Times New Roman" w:hAnsi="Times New Roman" w:cs="Times New Roman"/>
          <w:sz w:val="24"/>
          <w:szCs w:val="24"/>
        </w:rPr>
        <w:t xml:space="preserve">        </w:t>
      </w:r>
      <w:r w:rsidRPr="00306228">
        <w:rPr>
          <w:rFonts w:ascii="Times New Roman" w:hAnsi="Times New Roman" w:cs="Times New Roman"/>
          <w:sz w:val="24"/>
          <w:szCs w:val="24"/>
        </w:rPr>
        <w:t>że Komisję Centralną powołuje Prezes Rady Ministrów, z kolei komisję kwalifikacyjną ds. kadr centralnych powoływał szef UOP. W przypadku komisji wojewódzkich były one powoływane przez przewodniczącego Centralnej Komisji Kwalifikacyjnej. W ich skład wchodzili przedstawiciele: szefa UOP, komendanta głównego Policji, związku zawodowego funkcjonariuszy Policji, jak również inne osoby „o uznanym w lokalnej społeczności autorytecie moralnym i społecznym”</w:t>
      </w:r>
      <w:r w:rsidRPr="00306228">
        <w:rPr>
          <w:rFonts w:ascii="Times New Roman" w:hAnsi="Times New Roman" w:cs="Times New Roman"/>
          <w:sz w:val="24"/>
          <w:szCs w:val="24"/>
          <w:vertAlign w:val="superscript"/>
        </w:rPr>
        <w:t>95</w:t>
      </w:r>
      <w:r w:rsidRPr="00306228">
        <w:rPr>
          <w:rFonts w:ascii="Times New Roman" w:hAnsi="Times New Roman" w:cs="Times New Roman"/>
          <w:sz w:val="24"/>
          <w:szCs w:val="24"/>
        </w:rPr>
        <w:t xml:space="preserve">. Zadania Centralnej Komisji Kwalifikacyjnej (dalej: CKK) koncentrowały się przede wszystkim, obok nadzoru nad pracami komisji ds. kadr centralnych i komisji wojewódzkich, na rozpatrywaniu odwołań od decyzji wymienionych powyżej organów. Zadania komisji ds. kadr centralnych miały dotyczyć weryfikacji funkcjonariuszy SB pełniących służbę w jednostkach na szczeblu centralnym. Z kolei komisje wojewódzkie zajmowały się procesem weryfikacji w jednostkach SB z terenu danego województwa. W dalszej części uchwały szczegółowo omówiono tryb składania wniosków </w:t>
      </w:r>
      <w:r>
        <w:rPr>
          <w:rFonts w:ascii="Times New Roman" w:hAnsi="Times New Roman" w:cs="Times New Roman"/>
          <w:sz w:val="24"/>
          <w:szCs w:val="24"/>
        </w:rPr>
        <w:t xml:space="preserve">    </w:t>
      </w:r>
      <w:r w:rsidRPr="00306228">
        <w:rPr>
          <w:rFonts w:ascii="Times New Roman" w:hAnsi="Times New Roman" w:cs="Times New Roman"/>
          <w:sz w:val="24"/>
          <w:szCs w:val="24"/>
        </w:rPr>
        <w:t>o przyjęcie do służby. Mógł go złożyć każdy funkcjonariusz, który nie miał ukończonego pięćdziesiątego piątego roku życia</w:t>
      </w:r>
      <w:r w:rsidRPr="00306228">
        <w:rPr>
          <w:rFonts w:ascii="Times New Roman" w:hAnsi="Times New Roman" w:cs="Times New Roman"/>
          <w:sz w:val="24"/>
          <w:szCs w:val="24"/>
          <w:vertAlign w:val="superscript"/>
        </w:rPr>
        <w:t>96</w:t>
      </w:r>
      <w:r w:rsidRPr="00306228">
        <w:rPr>
          <w:rFonts w:ascii="Times New Roman" w:hAnsi="Times New Roman" w:cs="Times New Roman"/>
          <w:sz w:val="24"/>
          <w:szCs w:val="24"/>
        </w:rPr>
        <w:t xml:space="preserve">. Opisano również sposób procedowania przed komisją, wskazując, że obok wniosku i dokumentów, w tym osobowych, zasadne było </w:t>
      </w:r>
      <w:r w:rsidRPr="00306228">
        <w:rPr>
          <w:rFonts w:ascii="Times New Roman" w:hAnsi="Times New Roman" w:cs="Times New Roman"/>
          <w:sz w:val="24"/>
          <w:szCs w:val="24"/>
        </w:rPr>
        <w:lastRenderedPageBreak/>
        <w:t xml:space="preserve">przeprowadzanie rozmów uzupełniających. Dopiero wobec braku przeciwwskazań, uzasadnionych przekonaniem o posiadaniu odpowiednich kwalifikacji do pełnienia służby </w:t>
      </w:r>
      <w:r>
        <w:rPr>
          <w:rFonts w:ascii="Times New Roman" w:hAnsi="Times New Roman" w:cs="Times New Roman"/>
          <w:sz w:val="24"/>
          <w:szCs w:val="24"/>
        </w:rPr>
        <w:t xml:space="preserve">     </w:t>
      </w:r>
      <w:r w:rsidRPr="00306228">
        <w:rPr>
          <w:rFonts w:ascii="Times New Roman" w:hAnsi="Times New Roman" w:cs="Times New Roman"/>
          <w:sz w:val="24"/>
          <w:szCs w:val="24"/>
        </w:rPr>
        <w:t>w UOP, wydawano pozytywne opinie. W przypadku wydania opinii negatywnej każdy miał prawo odwołać się do CKK w terminie siedmiu dni od jej otrzymania</w:t>
      </w:r>
      <w:r w:rsidRPr="00306228">
        <w:rPr>
          <w:rFonts w:ascii="Times New Roman" w:hAnsi="Times New Roman" w:cs="Times New Roman"/>
          <w:sz w:val="24"/>
          <w:szCs w:val="24"/>
          <w:vertAlign w:val="superscript"/>
        </w:rPr>
        <w:t>97</w:t>
      </w:r>
      <w:r w:rsidRPr="00306228">
        <w:rPr>
          <w:rFonts w:ascii="Times New Roman" w:hAnsi="Times New Roman" w:cs="Times New Roman"/>
          <w:sz w:val="24"/>
          <w:szCs w:val="24"/>
        </w:rPr>
        <w:t xml:space="preserve">. W CKK odwołanie rozpatrywano, a decyzja przez nią podjęta była ostateczna. W wykonaniu cytowanej uchwały nr 69 Rady Ministrów przygotowano podwaliny organizacyjne i formalne niezbędne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do przeprowadzenia procesu kwalifikacyjnego, który potocznie funkcjonuje pod nazwą „weryfikacja funkcjonariuszy SB”98. Przede wszystkim powołana została do życia Centralna Komisja Kwalifikacyjna, Komisja Kwalifikacyjna do spraw Kadr Centralnych oraz wojewódzkie komisje kwalifikacyjne. </w:t>
      </w:r>
    </w:p>
    <w:p w:rsidR="00306228" w:rsidRPr="00306228" w:rsidRDefault="00306228" w:rsidP="00306228">
      <w:pPr>
        <w:jc w:val="both"/>
        <w:rPr>
          <w:rFonts w:ascii="Times New Roman" w:hAnsi="Times New Roman" w:cs="Times New Roman"/>
          <w:b/>
          <w:sz w:val="24"/>
          <w:szCs w:val="24"/>
        </w:rPr>
      </w:pPr>
      <w:r w:rsidRPr="00306228">
        <w:rPr>
          <w:rFonts w:ascii="Times New Roman" w:hAnsi="Times New Roman" w:cs="Times New Roman"/>
          <w:b/>
          <w:sz w:val="24"/>
          <w:szCs w:val="24"/>
        </w:rPr>
        <w:t>Szczególne znaczenie w kontekście rozpatrywanej problematyki ma Instrukcja przewodniczącego Centralnej Komisji Kwalifikacyjnej z 25 VI 1990 r., potocznie zwana Instrukcją Kozłowskiego</w:t>
      </w:r>
      <w:r w:rsidRPr="00306228">
        <w:rPr>
          <w:rFonts w:ascii="Times New Roman" w:hAnsi="Times New Roman" w:cs="Times New Roman"/>
          <w:b/>
          <w:sz w:val="24"/>
          <w:szCs w:val="24"/>
          <w:vertAlign w:val="superscript"/>
        </w:rPr>
        <w:t>99</w:t>
      </w:r>
      <w:r w:rsidRPr="00306228">
        <w:rPr>
          <w:rFonts w:ascii="Times New Roman" w:hAnsi="Times New Roman" w:cs="Times New Roman"/>
          <w:b/>
          <w:sz w:val="24"/>
          <w:szCs w:val="24"/>
        </w:rPr>
        <w:t>.</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 Był to podstawowy dokument stanowiący istotne narzędzie w procesie kwalifikacji funkcjonariuszy SB i określenia ich przydatności do pracy w nowym resorcie spraw wewnętrznych, Policji czy też — przede wszystkim — w Urzędzie Ochrony Państwa</w:t>
      </w:r>
      <w:r w:rsidRPr="00306228">
        <w:rPr>
          <w:rFonts w:ascii="Times New Roman" w:hAnsi="Times New Roman" w:cs="Times New Roman"/>
          <w:b/>
          <w:sz w:val="24"/>
          <w:szCs w:val="24"/>
          <w:vertAlign w:val="superscript"/>
        </w:rPr>
        <w:t>100</w:t>
      </w:r>
      <w:r w:rsidRPr="00306228">
        <w:rPr>
          <w:rFonts w:ascii="Times New Roman" w:hAnsi="Times New Roman" w:cs="Times New Roman"/>
          <w:sz w:val="24"/>
          <w:szCs w:val="24"/>
        </w:rPr>
        <w:t xml:space="preserve">.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Ogólnie rzecz biorąc, Instrukcja wskazywała jednostki i komórki organizacyjne, w których pełnienie służby traktowane było jako służba w SB. Dokonano przy tym rozróżnienia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na jednostki istniejące w dniu 10 V 1990 r. (czyli w momencie powołania UOP), jak też jednostki istniejące w dniu 31 VII 1989 r.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Uzupełnieniem, potwierdzającym wykaz stanowisk traktowanych jako będące jednostkami SB, było zarządzenie nr 53/90 ministra spraw wewnętrznych z 2 VII 1990 r. „w sprawie określenia stanowisk zajmowanych przez funkcjonariuszy byłej Służby Bezpieczeństwa oraz jednostek organizacyjnych resortu spraw wewnętrznych, w których pełnili oni służbę”.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W par. 1 zarządzenia wskazano, że funkcjonariuszami byłej SB są ci, którzy pełnili służbę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na stanowiskach i w jednostkach wymienionych w Instrukcji Przewodniczącego Centralnej Komisji Kwalifikacyjnej z 25 VI 1990 r.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Jednocześnie zmodyfikowano zapis par. 28 zarządzenia nr 60/87 MSW z dnia 31 X 1987 r. „w sprawie przebiegu służby funkcjonariuszy SB i MO” zmieniony kilka miesięcy wcześniej przez zarządzenie nr 8/90 z 22 I 1990 r. (dla przypo</w:t>
      </w:r>
      <w:r>
        <w:rPr>
          <w:rFonts w:ascii="Times New Roman" w:hAnsi="Times New Roman" w:cs="Times New Roman"/>
          <w:sz w:val="24"/>
          <w:szCs w:val="24"/>
        </w:rPr>
        <w:t>mnienia chodziło</w:t>
      </w:r>
      <w:r w:rsidRPr="00306228">
        <w:rPr>
          <w:rFonts w:ascii="Times New Roman" w:hAnsi="Times New Roman" w:cs="Times New Roman"/>
          <w:sz w:val="24"/>
          <w:szCs w:val="24"/>
        </w:rPr>
        <w:t xml:space="preserve"> o formalne ograniczenie jednostek SB poprzez definicyjne określenie, czym jest Służba Bezpieczeństwa — przyp. autora). Skreślono w nim </w:t>
      </w:r>
      <w:r>
        <w:rPr>
          <w:rFonts w:ascii="Times New Roman" w:hAnsi="Times New Roman" w:cs="Times New Roman"/>
          <w:sz w:val="24"/>
          <w:szCs w:val="24"/>
        </w:rPr>
        <w:t xml:space="preserve">wprowadzony tym zarządzeniem </w:t>
      </w:r>
      <w:r w:rsidRPr="00306228">
        <w:rPr>
          <w:rFonts w:ascii="Times New Roman" w:hAnsi="Times New Roman" w:cs="Times New Roman"/>
          <w:sz w:val="24"/>
          <w:szCs w:val="24"/>
        </w:rPr>
        <w:t xml:space="preserve">ust. 2.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Wykonując uchwałę nr 69, minister spraw wewnętrznych wydał wspomniane w niniejszym tekście zarządzenie nr 51/90 z 25 VI 1990 r. „w sprawie przeprowadzenia oceny byłych funkcjonariuszy Służby Bezpieczeństwa”. Zgodnie z jego postanowieniem wszyscy funkcjonariusze SB, o których traktowała Instrukcja, mieli otrzymać formularze wniosków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o przyjęcie do służby. Wszystkie wypełnione druki miały następnie w terminie do 4 lipca trafić do Departamentu Kadr MSW. Następnie wypełniony formularz wraz z aktami osobowymi trafiał do sekretarza Komisji Kwalifikacyjnej. Szef UOP miał również otrzymać </w:t>
      </w:r>
      <w:r w:rsidRPr="00306228">
        <w:rPr>
          <w:rFonts w:ascii="Times New Roman" w:hAnsi="Times New Roman" w:cs="Times New Roman"/>
          <w:sz w:val="24"/>
          <w:szCs w:val="24"/>
        </w:rPr>
        <w:lastRenderedPageBreak/>
        <w:t xml:space="preserve">przygotowany przez Departament Kadr wykaz funkcjonariuszy, którzy nie podlegali weryfikacji w związku z osiągnięciem pięćdziesiątego piątego roku życia. Odwołania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od decyzji Komisji ds. Kadr Centralnych lub komisji wojewódzkich przekazywano wraz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z całością dokumentacji sekretarzowi CKK. Zamknięciem procesu weryfikacji miało być przekazanie akt kandydatów do służby wraz z opiniami negatywnymi do komórek kadrowych, natomiast decyzje pozytywne trafiały do nowo powstających jednostek UOP, Policji lub MSW.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Na marginesie rozważań związanych z weryfikacją funkcjonariuszy ciekawa jest konstatacja dokonana przez cytowanych już na łamach niniejszego artykułu Adriana </w:t>
      </w:r>
      <w:proofErr w:type="spellStart"/>
      <w:r w:rsidRPr="00306228">
        <w:rPr>
          <w:rFonts w:ascii="Times New Roman" w:hAnsi="Times New Roman" w:cs="Times New Roman"/>
          <w:sz w:val="24"/>
          <w:szCs w:val="24"/>
        </w:rPr>
        <w:t>Jusupovicia</w:t>
      </w:r>
      <w:proofErr w:type="spellEnd"/>
      <w:r w:rsidRPr="00306228">
        <w:rPr>
          <w:rFonts w:ascii="Times New Roman" w:hAnsi="Times New Roman" w:cs="Times New Roman"/>
          <w:sz w:val="24"/>
          <w:szCs w:val="24"/>
        </w:rPr>
        <w:t xml:space="preserve">, Andrzeja </w:t>
      </w:r>
      <w:proofErr w:type="spellStart"/>
      <w:r w:rsidRPr="00306228">
        <w:rPr>
          <w:rFonts w:ascii="Times New Roman" w:hAnsi="Times New Roman" w:cs="Times New Roman"/>
          <w:sz w:val="24"/>
          <w:szCs w:val="24"/>
        </w:rPr>
        <w:t>Ostapę</w:t>
      </w:r>
      <w:proofErr w:type="spellEnd"/>
      <w:r w:rsidRPr="00306228">
        <w:rPr>
          <w:rFonts w:ascii="Times New Roman" w:hAnsi="Times New Roman" w:cs="Times New Roman"/>
          <w:sz w:val="24"/>
          <w:szCs w:val="24"/>
        </w:rPr>
        <w:t xml:space="preserve"> i Jacka Wygodę, pracowników Biura Lustracyjnego Instytutu Pamięci Narodowej, autorów artykułu Pojęcie Służba Bezpieczeństwa w rozumieniu ustawy lustracyjnej. Propozycja wykładni</w:t>
      </w:r>
      <w:r w:rsidRPr="00306228">
        <w:rPr>
          <w:rFonts w:ascii="Times New Roman" w:hAnsi="Times New Roman" w:cs="Times New Roman"/>
          <w:sz w:val="24"/>
          <w:szCs w:val="24"/>
          <w:vertAlign w:val="superscript"/>
        </w:rPr>
        <w:t>101</w:t>
      </w:r>
      <w:r w:rsidRPr="00306228">
        <w:rPr>
          <w:rFonts w:ascii="Times New Roman" w:hAnsi="Times New Roman" w:cs="Times New Roman"/>
          <w:sz w:val="24"/>
          <w:szCs w:val="24"/>
        </w:rPr>
        <w:t xml:space="preserve">. Zwrócili oni uwagę, że zgodnie z art. 131 ustawy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o UOP </w:t>
      </w:r>
      <w:r w:rsidRPr="00306228">
        <w:rPr>
          <w:rFonts w:ascii="Times New Roman" w:hAnsi="Times New Roman" w:cs="Times New Roman"/>
          <w:b/>
          <w:sz w:val="24"/>
          <w:szCs w:val="24"/>
        </w:rPr>
        <w:t>proces rozwiązywania Służby Bezpieczeństwa wiązał się ze zwolnieniami funkcjonariuszy ze służby</w:t>
      </w:r>
      <w:r w:rsidRPr="00306228">
        <w:rPr>
          <w:rFonts w:ascii="Times New Roman" w:hAnsi="Times New Roman" w:cs="Times New Roman"/>
          <w:sz w:val="24"/>
          <w:szCs w:val="24"/>
        </w:rPr>
        <w:t xml:space="preserve">. Tym samym, realizując współcześnie procedury lustracyjne, </w:t>
      </w:r>
      <w:r>
        <w:rPr>
          <w:rFonts w:ascii="Times New Roman" w:hAnsi="Times New Roman" w:cs="Times New Roman"/>
          <w:sz w:val="24"/>
          <w:szCs w:val="24"/>
        </w:rPr>
        <w:t xml:space="preserve">     </w:t>
      </w:r>
      <w:r w:rsidRPr="00306228">
        <w:rPr>
          <w:rFonts w:ascii="Times New Roman" w:hAnsi="Times New Roman" w:cs="Times New Roman"/>
          <w:sz w:val="24"/>
          <w:szCs w:val="24"/>
        </w:rPr>
        <w:t>za jednostki SB w rozumieniu ustawy z 18 X 2006 r. o ujawnianiu informacji o dokumentach organów bezpieczeństwa państwa z lat 1944–1990 oraz treści tych dokumentów</w:t>
      </w:r>
      <w:r w:rsidRPr="00306228">
        <w:rPr>
          <w:rFonts w:ascii="Times New Roman" w:hAnsi="Times New Roman" w:cs="Times New Roman"/>
          <w:sz w:val="24"/>
          <w:szCs w:val="24"/>
          <w:vertAlign w:val="superscript"/>
        </w:rPr>
        <w:t>102</w:t>
      </w:r>
      <w:r w:rsidRPr="00306228">
        <w:rPr>
          <w:rFonts w:ascii="Times New Roman" w:hAnsi="Times New Roman" w:cs="Times New Roman"/>
          <w:sz w:val="24"/>
          <w:szCs w:val="24"/>
        </w:rPr>
        <w:t xml:space="preserve"> należy uznać te, z których funkcjonariusze byli zwalniani w trybie przywołanego powyżej przepisu ustawy. Enumeratywnie jednostki te wymieniono w Instrukcji Kozłowskiego, do której odwołuje się zarządzenie nr 53/90 ministra spraw wewnętrznych z 2 VII 1990 r. w sprawie określenia stanowisk zajmowanych przez funkcjonariuszy byłej Służby Bezpieczeństwa oraz jednostek organizacyjnych resortu spraw wewnętrznyc</w:t>
      </w:r>
      <w:r>
        <w:rPr>
          <w:rFonts w:ascii="Times New Roman" w:hAnsi="Times New Roman" w:cs="Times New Roman"/>
          <w:sz w:val="24"/>
          <w:szCs w:val="24"/>
        </w:rPr>
        <w:t>h, w których pełnili oni służbę</w:t>
      </w:r>
      <w:r w:rsidRPr="00306228">
        <w:rPr>
          <w:rFonts w:ascii="Times New Roman" w:hAnsi="Times New Roman" w:cs="Times New Roman"/>
          <w:sz w:val="24"/>
          <w:szCs w:val="24"/>
          <w:vertAlign w:val="superscript"/>
        </w:rPr>
        <w:t>103</w:t>
      </w:r>
      <w:r w:rsidRPr="003062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W par. 2 zarządzenia wskazano, że „funkcjonariuszami byłej Służby Bezpieczeństwa </w:t>
      </w:r>
      <w:r>
        <w:rPr>
          <w:rFonts w:ascii="Times New Roman" w:hAnsi="Times New Roman" w:cs="Times New Roman"/>
          <w:sz w:val="24"/>
          <w:szCs w:val="24"/>
        </w:rPr>
        <w:t xml:space="preserve">            </w:t>
      </w:r>
      <w:r w:rsidRPr="00306228">
        <w:rPr>
          <w:rFonts w:ascii="Times New Roman" w:hAnsi="Times New Roman" w:cs="Times New Roman"/>
          <w:sz w:val="24"/>
          <w:szCs w:val="24"/>
        </w:rPr>
        <w:t>są osoby, które pełniły służbę na stanowiskach i w jednostkach wymienionych w Instrukcji Przewodniczącego Centralnej Komisji Kwalifikacyjnej z dnia 25 czerwca 1990 r.”</w:t>
      </w:r>
      <w:r w:rsidRPr="00306228">
        <w:rPr>
          <w:rFonts w:ascii="Times New Roman" w:hAnsi="Times New Roman" w:cs="Times New Roman"/>
          <w:sz w:val="24"/>
          <w:szCs w:val="24"/>
          <w:vertAlign w:val="superscript"/>
        </w:rPr>
        <w:t>104</w:t>
      </w:r>
      <w:r w:rsidRPr="00306228">
        <w:rPr>
          <w:rFonts w:ascii="Times New Roman" w:hAnsi="Times New Roman" w:cs="Times New Roman"/>
          <w:sz w:val="24"/>
          <w:szCs w:val="24"/>
        </w:rPr>
        <w:t xml:space="preserve"> Wykonując postanowienia cytowanej uchwały 69 oraz ustalonych tzw. Instrukcją Kozłowskiego zasad weryfikacji funkcjonariuszy SB, przystąpiono na początku lipca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do samego procesu </w:t>
      </w:r>
      <w:proofErr w:type="spellStart"/>
      <w:r w:rsidRPr="00306228">
        <w:rPr>
          <w:rFonts w:ascii="Times New Roman" w:hAnsi="Times New Roman" w:cs="Times New Roman"/>
          <w:sz w:val="24"/>
          <w:szCs w:val="24"/>
        </w:rPr>
        <w:t>weryfikacyjno–kwalifikacyjnego</w:t>
      </w:r>
      <w:proofErr w:type="spellEnd"/>
      <w:r w:rsidRPr="00306228">
        <w:rPr>
          <w:rFonts w:ascii="Times New Roman" w:hAnsi="Times New Roman" w:cs="Times New Roman"/>
          <w:sz w:val="24"/>
          <w:szCs w:val="24"/>
        </w:rPr>
        <w:t>. Jak wspomniano powyżej, powołano w tym celu Centralną Komisję Kwalifikacyjną (dalej: CKK), Komisję Kwalifikacyjną ds. Kadr Centralnych</w:t>
      </w:r>
      <w:r w:rsidRPr="00306228">
        <w:rPr>
          <w:rFonts w:ascii="Times New Roman" w:hAnsi="Times New Roman" w:cs="Times New Roman"/>
          <w:sz w:val="24"/>
          <w:szCs w:val="24"/>
          <w:vertAlign w:val="superscript"/>
        </w:rPr>
        <w:t>105</w:t>
      </w:r>
      <w:r w:rsidRPr="00306228">
        <w:rPr>
          <w:rFonts w:ascii="Times New Roman" w:hAnsi="Times New Roman" w:cs="Times New Roman"/>
          <w:sz w:val="24"/>
          <w:szCs w:val="24"/>
        </w:rPr>
        <w:t xml:space="preserve"> oraz wojewódzkie komisje kwalifikacyjne we wszystkich czterdziestu dziewięciu województwach. Przewodniczącym CKK został szef Urzędu Ochrony Państwa — dr Krzysztof Kozłowski. Dodatkowo w składzie komisji znaleźli się m.in. czterej posłowie, trzej przedstawiciele Politycznego Komitetu Doradczego, jak również zastępca komendanta głównego Policji. W podobny sposób utworzono komisje wojewódzkie, w których skład weszli dwaj posłowie i senator z danego województwa, działacze „Solidarności” oraz komitetów obywatelskich, a także osoby wskazane przez szefa UOP, komendanta wojewódzkiego Policji i policyjnych związków zawodowych</w:t>
      </w:r>
      <w:r w:rsidRPr="00306228">
        <w:rPr>
          <w:rFonts w:ascii="Times New Roman" w:hAnsi="Times New Roman" w:cs="Times New Roman"/>
          <w:sz w:val="24"/>
          <w:szCs w:val="24"/>
          <w:vertAlign w:val="superscript"/>
        </w:rPr>
        <w:t>106</w:t>
      </w:r>
      <w:r w:rsidRPr="00306228">
        <w:rPr>
          <w:rFonts w:ascii="Times New Roman" w:hAnsi="Times New Roman" w:cs="Times New Roman"/>
          <w:sz w:val="24"/>
          <w:szCs w:val="24"/>
        </w:rPr>
        <w:t>. Ogółem procesowi weryfikacji poddało się ok. 14,5 tys. funkcjonariuszy SB. Jak wyliczył Antoni Dudek, było to „tylko” 60 proc. tych, którzy pełnili służbę w komunistycznej bezpiece według stanu na połowę 1989 r., a więc przed tzw. reorganizacją resortu spraw wewnętrznych. Ogółem pozytywnie oceniono, a następnie przyjęto do służby zarówno w Policji, jak i UOP 10 439 osób. Negatywnie zweryfikowano 3595 osób. W pierwszej instancji procedurę pozytywnie przeszło 8681 osób</w:t>
      </w:r>
      <w:r w:rsidRPr="00306228">
        <w:rPr>
          <w:rFonts w:ascii="Times New Roman" w:hAnsi="Times New Roman" w:cs="Times New Roman"/>
          <w:sz w:val="24"/>
          <w:szCs w:val="24"/>
          <w:vertAlign w:val="superscript"/>
        </w:rPr>
        <w:t>107</w:t>
      </w:r>
      <w:r w:rsidRPr="00306228">
        <w:rPr>
          <w:rFonts w:ascii="Times New Roman" w:hAnsi="Times New Roman" w:cs="Times New Roman"/>
          <w:sz w:val="24"/>
          <w:szCs w:val="24"/>
        </w:rPr>
        <w:t xml:space="preserve">. Negatywnie zweryfikowani odwołali się od decyzji wojewódzkich komisji kwalifikacyjnych do CKK. Komisja Centralna rozpatrzyła łącznie ponad 4,5 tys. </w:t>
      </w:r>
      <w:r w:rsidRPr="00306228">
        <w:rPr>
          <w:rFonts w:ascii="Times New Roman" w:hAnsi="Times New Roman" w:cs="Times New Roman"/>
          <w:sz w:val="24"/>
          <w:szCs w:val="24"/>
        </w:rPr>
        <w:lastRenderedPageBreak/>
        <w:t>odwołań, z czego w przypadku 1,8 tys. osób zdecydowano o ostatecznie pozytywnym rozpatrzeniu ich podań o pracę w UOP lub Policji</w:t>
      </w:r>
      <w:r w:rsidRPr="00D85FC5">
        <w:rPr>
          <w:rFonts w:ascii="Times New Roman" w:hAnsi="Times New Roman" w:cs="Times New Roman"/>
          <w:sz w:val="24"/>
          <w:szCs w:val="24"/>
          <w:vertAlign w:val="superscript"/>
        </w:rPr>
        <w:t>108</w:t>
      </w:r>
      <w:r w:rsidRPr="00306228">
        <w:rPr>
          <w:rFonts w:ascii="Times New Roman" w:hAnsi="Times New Roman" w:cs="Times New Roman"/>
          <w:sz w:val="24"/>
          <w:szCs w:val="24"/>
        </w:rPr>
        <w:t xml:space="preserve">. </w:t>
      </w:r>
    </w:p>
    <w:p w:rsidR="001955A3"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rPr>
        <w:t xml:space="preserve">Podsumowując weryfikację funkcjonariuszy SB, warto na koniec wspomnieć o liście skierowanym przez prof. </w:t>
      </w:r>
      <w:proofErr w:type="spellStart"/>
      <w:r w:rsidRPr="00306228">
        <w:rPr>
          <w:rFonts w:ascii="Times New Roman" w:hAnsi="Times New Roman" w:cs="Times New Roman"/>
          <w:sz w:val="24"/>
          <w:szCs w:val="24"/>
        </w:rPr>
        <w:t>dr</w:t>
      </w:r>
      <w:proofErr w:type="spellEnd"/>
      <w:r w:rsidRPr="00306228">
        <w:rPr>
          <w:rFonts w:ascii="Times New Roman" w:hAnsi="Times New Roman" w:cs="Times New Roman"/>
          <w:sz w:val="24"/>
          <w:szCs w:val="24"/>
        </w:rPr>
        <w:t xml:space="preserve">. hab. Jana </w:t>
      </w:r>
      <w:proofErr w:type="spellStart"/>
      <w:r w:rsidRPr="00306228">
        <w:rPr>
          <w:rFonts w:ascii="Times New Roman" w:hAnsi="Times New Roman" w:cs="Times New Roman"/>
          <w:sz w:val="24"/>
          <w:szCs w:val="24"/>
        </w:rPr>
        <w:t>Widackiego</w:t>
      </w:r>
      <w:proofErr w:type="spellEnd"/>
      <w:r w:rsidRPr="00306228">
        <w:rPr>
          <w:rFonts w:ascii="Times New Roman" w:hAnsi="Times New Roman" w:cs="Times New Roman"/>
          <w:sz w:val="24"/>
          <w:szCs w:val="24"/>
        </w:rPr>
        <w:t xml:space="preserve"> do członków wojewódzkich komisji kwalifikacyjnych pod koniec sierpnia 1990 r., stanowiącym swoiste podsumowanie tego procesu</w:t>
      </w:r>
      <w:r w:rsidRPr="00D85FC5">
        <w:rPr>
          <w:rFonts w:ascii="Times New Roman" w:hAnsi="Times New Roman" w:cs="Times New Roman"/>
          <w:sz w:val="24"/>
          <w:szCs w:val="24"/>
          <w:vertAlign w:val="superscript"/>
        </w:rPr>
        <w:t>109</w:t>
      </w:r>
      <w:r w:rsidRPr="00306228">
        <w:rPr>
          <w:rFonts w:ascii="Times New Roman" w:hAnsi="Times New Roman" w:cs="Times New Roman"/>
          <w:sz w:val="24"/>
          <w:szCs w:val="24"/>
        </w:rPr>
        <w:t xml:space="preserve">. Ówczesny podsekretarz stanu w MSW podał w swoim liście garść danych statystycznych związanych z zakończoną procedurą </w:t>
      </w:r>
      <w:proofErr w:type="spellStart"/>
      <w:r w:rsidRPr="00306228">
        <w:rPr>
          <w:rFonts w:ascii="Times New Roman" w:hAnsi="Times New Roman" w:cs="Times New Roman"/>
          <w:sz w:val="24"/>
          <w:szCs w:val="24"/>
        </w:rPr>
        <w:t>weryfikacyjno–kwalifikacyjną</w:t>
      </w:r>
      <w:proofErr w:type="spellEnd"/>
      <w:r w:rsidRPr="00306228">
        <w:rPr>
          <w:rFonts w:ascii="Times New Roman" w:hAnsi="Times New Roman" w:cs="Times New Roman"/>
          <w:sz w:val="24"/>
          <w:szCs w:val="24"/>
        </w:rPr>
        <w:t>. Przypomniał, że wyniki kwalifikacji dają jedynie podstawę do ubiegania się o pracę w UOP lub Policji, a ostateczną decyzję podejmują komendanci wojewódzcy Policji i szef UOP. Warto jeszcze nadmienić, że zanim przystąpiono do tej procedury, gen. Czesław Kiszczak dokonał licznych zmian personalnych w kierowanym przez siebie Ministerstwie Spraw Wewnętrznych. Między grudniem 1989 r. a czerwcem 1990 r. stanowiska straciło 202 przedstawicieli najwyższego kierownictwa resortu. Byli to kolejno: jeden wiceminister, pięciu szefów służb, szesnastu dyrektorów departamentów i jednostek na prawach departamentów. Olbrzymie zmiany personalne nastąpiły także w likwidowanych wojewódzkich urzędach spraw wewnętrznych. Ponadto w aż czterdziestu czterech województwach na stanowiskach komendantów wojewódzkich Policji pojawiły się zupełnie nowe osoby</w:t>
      </w:r>
      <w:r w:rsidRPr="00306228">
        <w:rPr>
          <w:rFonts w:ascii="Times New Roman" w:hAnsi="Times New Roman" w:cs="Times New Roman"/>
          <w:sz w:val="24"/>
          <w:szCs w:val="24"/>
          <w:vertAlign w:val="superscript"/>
        </w:rPr>
        <w:t>110</w:t>
      </w:r>
      <w:r w:rsidRPr="00306228">
        <w:rPr>
          <w:rFonts w:ascii="Times New Roman" w:hAnsi="Times New Roman" w:cs="Times New Roman"/>
          <w:sz w:val="24"/>
          <w:szCs w:val="24"/>
        </w:rPr>
        <w:t>. Tyle zasady opisane w uchwale oraz pozostałych aktach wykonawczych. Jak pokazały liczne przypadki, przez sito komisji kwalifikacyjnych częstokroć przechodzili ludzie, którzy ze względu na swą przeszłość nigdy nie powinni służyć w służbach specjalnych demokratycznego państwa.</w:t>
      </w:r>
    </w:p>
    <w:p w:rsidR="00306228" w:rsidRDefault="001955A3" w:rsidP="00306228">
      <w:pPr>
        <w:jc w:val="both"/>
        <w:rPr>
          <w:rFonts w:ascii="Times New Roman" w:hAnsi="Times New Roman" w:cs="Times New Roman"/>
          <w:sz w:val="24"/>
          <w:szCs w:val="24"/>
        </w:rPr>
      </w:pPr>
      <w:r>
        <w:rPr>
          <w:rFonts w:ascii="Times New Roman" w:hAnsi="Times New Roman" w:cs="Times New Roman"/>
          <w:sz w:val="24"/>
          <w:szCs w:val="24"/>
        </w:rPr>
        <w:t>/…/</w:t>
      </w:r>
      <w:r w:rsidR="00306228" w:rsidRPr="00306228">
        <w:rPr>
          <w:rFonts w:ascii="Times New Roman" w:hAnsi="Times New Roman" w:cs="Times New Roman"/>
          <w:sz w:val="24"/>
          <w:szCs w:val="24"/>
        </w:rPr>
        <w:t xml:space="preserve"> </w:t>
      </w:r>
    </w:p>
    <w:p w:rsidR="001955A3" w:rsidRPr="009838A5" w:rsidRDefault="001955A3" w:rsidP="009838A5">
      <w:pPr>
        <w:shd w:val="clear" w:color="auto" w:fill="FFFFFF"/>
        <w:rPr>
          <w:rFonts w:ascii="Times New Roman" w:eastAsia="Times New Roman" w:hAnsi="Times New Roman" w:cs="Times New Roman"/>
          <w:sz w:val="24"/>
          <w:szCs w:val="24"/>
          <w:lang w:eastAsia="pl-PL"/>
        </w:rPr>
      </w:pPr>
      <w:r w:rsidRPr="001955A3">
        <w:rPr>
          <w:rFonts w:ascii="Times New Roman" w:eastAsia="Times New Roman" w:hAnsi="Times New Roman" w:cs="Times New Roman"/>
          <w:sz w:val="24"/>
          <w:szCs w:val="24"/>
          <w:lang w:eastAsia="pl-PL"/>
        </w:rPr>
        <w:t>Przedstawiony tekst nie wyczerpuje problematyki, jest w zasadzie wprowadzeniem w temat. Szczegółowych badań wymaga np. proces kwalifikacji zwany potocznie weryfikacją</w:t>
      </w:r>
      <w:r w:rsidR="009838A5">
        <w:rPr>
          <w:rFonts w:ascii="Times New Roman" w:eastAsia="Times New Roman" w:hAnsi="Times New Roman" w:cs="Times New Roman"/>
          <w:sz w:val="24"/>
          <w:szCs w:val="24"/>
          <w:lang w:eastAsia="pl-PL"/>
        </w:rPr>
        <w:t xml:space="preserve"> </w:t>
      </w:r>
      <w:r w:rsidR="009838A5" w:rsidRPr="009838A5">
        <w:rPr>
          <w:rFonts w:ascii="Times New Roman" w:eastAsia="Times New Roman" w:hAnsi="Times New Roman" w:cs="Times New Roman"/>
          <w:sz w:val="24"/>
          <w:szCs w:val="24"/>
          <w:lang w:eastAsia="pl-PL"/>
        </w:rPr>
        <w:t>funkcjonariuszy w skali ogólnopolskiej. Takie badania jak dotąd nie zostały kompleksowo przeprowadzone.</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rPr>
        <w:t>Przypisy:</w:t>
      </w:r>
    </w:p>
    <w:p w:rsidR="00306228" w:rsidRPr="00306228" w:rsidRDefault="00306228" w:rsidP="00306228">
      <w:pPr>
        <w:rPr>
          <w:rFonts w:ascii="Times New Roman" w:hAnsi="Times New Roman" w:cs="Times New Roman"/>
          <w:sz w:val="24"/>
          <w:szCs w:val="24"/>
        </w:rPr>
      </w:pPr>
      <w:r w:rsidRPr="00D85FC5">
        <w:rPr>
          <w:rFonts w:ascii="Times New Roman" w:hAnsi="Times New Roman" w:cs="Times New Roman"/>
          <w:sz w:val="24"/>
          <w:szCs w:val="24"/>
          <w:vertAlign w:val="superscript"/>
        </w:rPr>
        <w:t>93</w:t>
      </w:r>
      <w:r w:rsidRPr="00306228">
        <w:rPr>
          <w:rFonts w:ascii="Times New Roman" w:hAnsi="Times New Roman" w:cs="Times New Roman"/>
          <w:sz w:val="24"/>
          <w:szCs w:val="24"/>
        </w:rPr>
        <w:t xml:space="preserve"> Monitor Polski z 1990 r., nr 20, poz. 159. </w:t>
      </w:r>
    </w:p>
    <w:p w:rsidR="00306228" w:rsidRPr="00306228" w:rsidRDefault="00306228" w:rsidP="00306228">
      <w:pPr>
        <w:rPr>
          <w:rFonts w:ascii="Times New Roman" w:hAnsi="Times New Roman" w:cs="Times New Roman"/>
          <w:sz w:val="24"/>
          <w:szCs w:val="24"/>
        </w:rPr>
      </w:pPr>
      <w:r w:rsidRPr="00D85FC5">
        <w:rPr>
          <w:rFonts w:ascii="Times New Roman" w:hAnsi="Times New Roman" w:cs="Times New Roman"/>
          <w:sz w:val="24"/>
          <w:szCs w:val="24"/>
          <w:vertAlign w:val="superscript"/>
        </w:rPr>
        <w:t>94</w:t>
      </w:r>
      <w:r w:rsidRPr="00306228">
        <w:rPr>
          <w:rFonts w:ascii="Times New Roman" w:hAnsi="Times New Roman" w:cs="Times New Roman"/>
          <w:sz w:val="24"/>
          <w:szCs w:val="24"/>
        </w:rPr>
        <w:t xml:space="preserve"> Dz. Urz. MSW z 1990 r., nr 2, poz. 12. </w:t>
      </w:r>
    </w:p>
    <w:p w:rsidR="00306228" w:rsidRPr="00306228" w:rsidRDefault="00306228" w:rsidP="00306228">
      <w:pPr>
        <w:rPr>
          <w:rFonts w:ascii="Times New Roman" w:hAnsi="Times New Roman" w:cs="Times New Roman"/>
          <w:sz w:val="24"/>
          <w:szCs w:val="24"/>
        </w:rPr>
      </w:pPr>
      <w:r w:rsidRPr="00D85FC5">
        <w:rPr>
          <w:rFonts w:ascii="Times New Roman" w:hAnsi="Times New Roman" w:cs="Times New Roman"/>
          <w:sz w:val="24"/>
          <w:szCs w:val="24"/>
          <w:vertAlign w:val="superscript"/>
        </w:rPr>
        <w:t xml:space="preserve">95 </w:t>
      </w:r>
      <w:r w:rsidRPr="00306228">
        <w:rPr>
          <w:rFonts w:ascii="Times New Roman" w:hAnsi="Times New Roman" w:cs="Times New Roman"/>
          <w:sz w:val="24"/>
          <w:szCs w:val="24"/>
        </w:rPr>
        <w:t xml:space="preserve">Par. 4 ust. 1 uchwały nr 69 z 21 V 1990 r. — kopia m.in. w AIPN BU, 1585/4048, k. 1–6.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vertAlign w:val="superscript"/>
        </w:rPr>
        <w:t>96</w:t>
      </w:r>
      <w:r w:rsidRPr="00306228">
        <w:rPr>
          <w:rFonts w:ascii="Times New Roman" w:hAnsi="Times New Roman" w:cs="Times New Roman"/>
          <w:sz w:val="24"/>
          <w:szCs w:val="24"/>
        </w:rPr>
        <w:t xml:space="preserve"> W piśmie dyrektora Departamentu Kadr </w:t>
      </w:r>
      <w:proofErr w:type="spellStart"/>
      <w:r w:rsidRPr="00306228">
        <w:rPr>
          <w:rFonts w:ascii="Times New Roman" w:hAnsi="Times New Roman" w:cs="Times New Roman"/>
          <w:sz w:val="24"/>
          <w:szCs w:val="24"/>
        </w:rPr>
        <w:t>płk</w:t>
      </w:r>
      <w:proofErr w:type="spellEnd"/>
      <w:r w:rsidRPr="00306228">
        <w:rPr>
          <w:rFonts w:ascii="Times New Roman" w:hAnsi="Times New Roman" w:cs="Times New Roman"/>
          <w:sz w:val="24"/>
          <w:szCs w:val="24"/>
        </w:rPr>
        <w:t xml:space="preserve">. Tadeusza Borkowskiego z 3 VII 1990 r. wskazano, że do 7 lipca komendanci wojewódzcy Policji mają obowiązek przesłania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do kierowanego przez niego departamentu wykazów funkcjonariuszy podlegających weryfikacji, którzy ukończyli pięćdziesiąty piąty rok życia, jak również zestawień ilościowych pozostałych funkcjonariuszy podlegających tej procedurze.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vertAlign w:val="superscript"/>
        </w:rPr>
        <w:t>97</w:t>
      </w:r>
      <w:r w:rsidRPr="00306228">
        <w:rPr>
          <w:rFonts w:ascii="Times New Roman" w:hAnsi="Times New Roman" w:cs="Times New Roman"/>
          <w:sz w:val="24"/>
          <w:szCs w:val="24"/>
        </w:rPr>
        <w:t xml:space="preserve"> Podstawą do wydania opinii negatywnej były: naruszenia prawa podczas pełnienia służby, naruszenia prawa i godności innych osób, wykorzystywanie stanowiska do celów pozasłużbowych.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vertAlign w:val="superscript"/>
        </w:rPr>
        <w:lastRenderedPageBreak/>
        <w:t>98</w:t>
      </w:r>
      <w:r w:rsidRPr="00306228">
        <w:rPr>
          <w:rFonts w:ascii="Times New Roman" w:hAnsi="Times New Roman" w:cs="Times New Roman"/>
          <w:sz w:val="24"/>
          <w:szCs w:val="24"/>
        </w:rPr>
        <w:t xml:space="preserve"> O praktyce prowadzonego procesu kwalifikacyjnego zwanego potocznie weryfikacją piszą w „Przeglądzie Bezpieczeństwa Wewnętrznego. Wydanie specjalne. 20–lecie UOP/ABW” m.in. cytowani na łamach niniejszego artykułu A. Milczanowski, Jak trafiłem do UOP, s. 46, 47; P. Niemczyk, BAI, s. 62; M. J. Stręk, Wyzwanie, s. 71; J. Wesołowski, Dwadzieścia lat minęło, s. 75, 76.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vertAlign w:val="superscript"/>
        </w:rPr>
        <w:t>99</w:t>
      </w:r>
      <w:r w:rsidRPr="00306228">
        <w:rPr>
          <w:rFonts w:ascii="Times New Roman" w:hAnsi="Times New Roman" w:cs="Times New Roman"/>
          <w:sz w:val="24"/>
          <w:szCs w:val="24"/>
        </w:rPr>
        <w:t xml:space="preserve"> Instrukcja była wielokrotnie publikowana, ostatnio w: </w:t>
      </w:r>
      <w:proofErr w:type="spellStart"/>
      <w:r w:rsidRPr="00306228">
        <w:rPr>
          <w:rFonts w:ascii="Times New Roman" w:hAnsi="Times New Roman" w:cs="Times New Roman"/>
          <w:sz w:val="24"/>
          <w:szCs w:val="24"/>
        </w:rPr>
        <w:t>Historyczno–prawna</w:t>
      </w:r>
      <w:proofErr w:type="spellEnd"/>
      <w:r w:rsidRPr="00306228">
        <w:rPr>
          <w:rFonts w:ascii="Times New Roman" w:hAnsi="Times New Roman" w:cs="Times New Roman"/>
          <w:sz w:val="24"/>
          <w:szCs w:val="24"/>
        </w:rPr>
        <w:t xml:space="preserve"> analiza, s. 303, 304. Oryginał znajduje się w archiwum Ministerstwa Spraw Wewnętrznych. Instytut Pamięci Narodowej w związku z wykonywaniem swoich obowiązków ustawowych otrzymał uwierzytelnioną kopię Instrukcji, która znajduje się w dyspozycji Biura Lustracyjnego IPN. Nieuwierzytelniona kopia znajduje się m.in. w archiwum łódzkiego IPN (AIPN </w:t>
      </w:r>
      <w:proofErr w:type="spellStart"/>
      <w:r w:rsidRPr="00306228">
        <w:rPr>
          <w:rFonts w:ascii="Times New Roman" w:hAnsi="Times New Roman" w:cs="Times New Roman"/>
          <w:sz w:val="24"/>
          <w:szCs w:val="24"/>
        </w:rPr>
        <w:t>Łd</w:t>
      </w:r>
      <w:proofErr w:type="spellEnd"/>
      <w:r w:rsidRPr="00306228">
        <w:rPr>
          <w:rFonts w:ascii="Times New Roman" w:hAnsi="Times New Roman" w:cs="Times New Roman"/>
          <w:sz w:val="24"/>
          <w:szCs w:val="24"/>
        </w:rPr>
        <w:t xml:space="preserve">, 0284/1, k. 13–15). </w:t>
      </w:r>
    </w:p>
    <w:p w:rsidR="00306228" w:rsidRPr="00306228" w:rsidRDefault="00306228" w:rsidP="00306228">
      <w:pPr>
        <w:jc w:val="both"/>
        <w:rPr>
          <w:rFonts w:ascii="Times New Roman" w:hAnsi="Times New Roman" w:cs="Times New Roman"/>
          <w:sz w:val="24"/>
          <w:szCs w:val="24"/>
        </w:rPr>
      </w:pPr>
      <w:r w:rsidRPr="00306228">
        <w:rPr>
          <w:rFonts w:ascii="Times New Roman" w:hAnsi="Times New Roman" w:cs="Times New Roman"/>
          <w:sz w:val="24"/>
          <w:szCs w:val="24"/>
          <w:vertAlign w:val="superscript"/>
        </w:rPr>
        <w:t>100</w:t>
      </w:r>
      <w:r w:rsidRPr="00306228">
        <w:rPr>
          <w:rFonts w:ascii="Times New Roman" w:hAnsi="Times New Roman" w:cs="Times New Roman"/>
          <w:sz w:val="24"/>
          <w:szCs w:val="24"/>
        </w:rPr>
        <w:t xml:space="preserve"> W tym miejscu konieczne jest rozwianie wątpliwości związanych z istnieniem dwóch wersji Instrukcji: jednej krótszej, a drugiej bardziej rozbudowanej. Ma to istotne znaczenie dla rozpatrywanej problematyki, gdyż w wersji krótszej brakuje niektórych jednostek organizacyjnych, które powinny podlegać weryfikacji, tym samym należy domniemywać, </w:t>
      </w:r>
      <w:r>
        <w:rPr>
          <w:rFonts w:ascii="Times New Roman" w:hAnsi="Times New Roman" w:cs="Times New Roman"/>
          <w:sz w:val="24"/>
          <w:szCs w:val="24"/>
        </w:rPr>
        <w:t xml:space="preserve">    </w:t>
      </w:r>
      <w:r w:rsidRPr="00306228">
        <w:rPr>
          <w:rFonts w:ascii="Times New Roman" w:hAnsi="Times New Roman" w:cs="Times New Roman"/>
          <w:sz w:val="24"/>
          <w:szCs w:val="24"/>
        </w:rPr>
        <w:t xml:space="preserve">że nie były jednostkami Służby Bezpieczeństwa. Wersja pełniejsza zawiera obszerniejszy wykaz. W tym kontekście warto zwrócić uwagę na decyzję nr 1/90 sekretarza Komisji Kwalifikacyjnej ds. Kadr Centralnych z 2 VII 1990 r. w sprawie ogłoszenia jednolitego tekstu Instrukcji Przewodniczącego Centralnej Komisji Kwalifikacyjnej z dnia 25 VI 1990 r. </w:t>
      </w:r>
      <w:r w:rsidRPr="002E2BC8">
        <w:rPr>
          <w:rFonts w:ascii="Times New Roman" w:hAnsi="Times New Roman" w:cs="Times New Roman"/>
          <w:b/>
          <w:sz w:val="24"/>
          <w:szCs w:val="24"/>
        </w:rPr>
        <w:t xml:space="preserve">Pod decyzją podpisał się sekretarz Komisji Wojciech </w:t>
      </w:r>
      <w:proofErr w:type="spellStart"/>
      <w:r w:rsidRPr="002E2BC8">
        <w:rPr>
          <w:rFonts w:ascii="Times New Roman" w:hAnsi="Times New Roman" w:cs="Times New Roman"/>
          <w:b/>
          <w:sz w:val="24"/>
          <w:szCs w:val="24"/>
        </w:rPr>
        <w:t>Raduchowski–Brochwicz</w:t>
      </w:r>
      <w:proofErr w:type="spellEnd"/>
      <w:r w:rsidRPr="002E2BC8">
        <w:rPr>
          <w:rFonts w:ascii="Times New Roman" w:hAnsi="Times New Roman" w:cs="Times New Roman"/>
          <w:b/>
          <w:sz w:val="24"/>
          <w:szCs w:val="24"/>
        </w:rPr>
        <w:t xml:space="preserve">. </w:t>
      </w:r>
      <w:r w:rsidRPr="00306228">
        <w:rPr>
          <w:rFonts w:ascii="Times New Roman" w:hAnsi="Times New Roman" w:cs="Times New Roman"/>
          <w:sz w:val="24"/>
          <w:szCs w:val="24"/>
        </w:rPr>
        <w:t xml:space="preserve">Załącznikiem do tej decyzji jest pełniejsza wersja Instrukcji. Dodatkowo wszelkie wątpliwości rozwiewa pismo dyrektora Departamentu Kadr MSW </w:t>
      </w:r>
      <w:proofErr w:type="spellStart"/>
      <w:r w:rsidRPr="00306228">
        <w:rPr>
          <w:rFonts w:ascii="Times New Roman" w:hAnsi="Times New Roman" w:cs="Times New Roman"/>
          <w:sz w:val="24"/>
          <w:szCs w:val="24"/>
        </w:rPr>
        <w:t>płk</w:t>
      </w:r>
      <w:proofErr w:type="spellEnd"/>
      <w:r w:rsidRPr="00306228">
        <w:rPr>
          <w:rFonts w:ascii="Times New Roman" w:hAnsi="Times New Roman" w:cs="Times New Roman"/>
          <w:sz w:val="24"/>
          <w:szCs w:val="24"/>
        </w:rPr>
        <w:t xml:space="preserve">. Tadeusza Borkowskiego nr Kh–3001/90 </w:t>
      </w:r>
      <w:r w:rsidR="002E2BC8">
        <w:rPr>
          <w:rFonts w:ascii="Times New Roman" w:hAnsi="Times New Roman" w:cs="Times New Roman"/>
          <w:sz w:val="24"/>
          <w:szCs w:val="24"/>
        </w:rPr>
        <w:t xml:space="preserve">        </w:t>
      </w:r>
      <w:r w:rsidRPr="00306228">
        <w:rPr>
          <w:rFonts w:ascii="Times New Roman" w:hAnsi="Times New Roman" w:cs="Times New Roman"/>
          <w:sz w:val="24"/>
          <w:szCs w:val="24"/>
        </w:rPr>
        <w:t xml:space="preserve">z 3 VII 1990 r. skierowane obiegiem do komendantów wojewódzkich Policji w całym kraju. Za tym pismem został przesłany m.in. jednolity tekst Instrukcji Kozłowskiego wraz </w:t>
      </w:r>
      <w:r w:rsidR="002E2BC8">
        <w:rPr>
          <w:rFonts w:ascii="Times New Roman" w:hAnsi="Times New Roman" w:cs="Times New Roman"/>
          <w:sz w:val="24"/>
          <w:szCs w:val="24"/>
        </w:rPr>
        <w:t xml:space="preserve">                </w:t>
      </w:r>
      <w:r w:rsidRPr="00306228">
        <w:rPr>
          <w:rFonts w:ascii="Times New Roman" w:hAnsi="Times New Roman" w:cs="Times New Roman"/>
          <w:sz w:val="24"/>
          <w:szCs w:val="24"/>
        </w:rPr>
        <w:t xml:space="preserve">z załączonymi wzorami wniosków o przyjęciu do służby, notatki z przeglądu akt osobowych </w:t>
      </w:r>
      <w:r w:rsidR="002E2BC8">
        <w:rPr>
          <w:rFonts w:ascii="Times New Roman" w:hAnsi="Times New Roman" w:cs="Times New Roman"/>
          <w:sz w:val="24"/>
          <w:szCs w:val="24"/>
        </w:rPr>
        <w:t xml:space="preserve">   </w:t>
      </w:r>
      <w:r w:rsidRPr="00306228">
        <w:rPr>
          <w:rFonts w:ascii="Times New Roman" w:hAnsi="Times New Roman" w:cs="Times New Roman"/>
          <w:sz w:val="24"/>
          <w:szCs w:val="24"/>
        </w:rPr>
        <w:t xml:space="preserve">i opinii komisji weryfikacyjnej. Zob. Pismo dyrektora Biura Ochrony Informacji Niejawnych </w:t>
      </w:r>
      <w:proofErr w:type="spellStart"/>
      <w:r w:rsidRPr="00306228">
        <w:rPr>
          <w:rFonts w:ascii="Times New Roman" w:hAnsi="Times New Roman" w:cs="Times New Roman"/>
          <w:sz w:val="24"/>
          <w:szCs w:val="24"/>
        </w:rPr>
        <w:t>MSWiA</w:t>
      </w:r>
      <w:proofErr w:type="spellEnd"/>
      <w:r w:rsidRPr="00306228">
        <w:rPr>
          <w:rFonts w:ascii="Times New Roman" w:hAnsi="Times New Roman" w:cs="Times New Roman"/>
          <w:sz w:val="24"/>
          <w:szCs w:val="24"/>
        </w:rPr>
        <w:t xml:space="preserve"> z dnia 15 VI 2011 r. skierowane do dyrektora Biura Lustracyjnego IPN w sprawie wskazania ostatecznego tekstu Instrukcji Kozłowskiego wraz z załącznikami. Istotnym dokumentem jest decyzja nr 85 ministra spraw wewnętrznych i administracji z 7 VI 2011 r. </w:t>
      </w:r>
      <w:r w:rsidR="002E2BC8">
        <w:rPr>
          <w:rFonts w:ascii="Times New Roman" w:hAnsi="Times New Roman" w:cs="Times New Roman"/>
          <w:sz w:val="24"/>
          <w:szCs w:val="24"/>
        </w:rPr>
        <w:t xml:space="preserve">   </w:t>
      </w:r>
      <w:r w:rsidRPr="00306228">
        <w:rPr>
          <w:rFonts w:ascii="Times New Roman" w:hAnsi="Times New Roman" w:cs="Times New Roman"/>
          <w:sz w:val="24"/>
          <w:szCs w:val="24"/>
        </w:rPr>
        <w:t xml:space="preserve">w sprawie udostępnienia IPN z zasobu Centralnego Archiwum MSW uwierzytelnionych kopii Instrukcji Przewodniczącego Centralnej Komisji Kwalifikacyjnej z 25 VI 1990 r. i pisma Dyrektora Departamentu Kadr MSW Kh–3001/90 z 3 VII 1990 r. (całość korespondencji w zbiorach autora). </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vertAlign w:val="superscript"/>
        </w:rPr>
        <w:t>101</w:t>
      </w:r>
      <w:r w:rsidRPr="00306228">
        <w:rPr>
          <w:rFonts w:ascii="Times New Roman" w:hAnsi="Times New Roman" w:cs="Times New Roman"/>
          <w:sz w:val="24"/>
          <w:szCs w:val="24"/>
        </w:rPr>
        <w:t xml:space="preserve"> </w:t>
      </w:r>
      <w:proofErr w:type="spellStart"/>
      <w:r w:rsidRPr="00306228">
        <w:rPr>
          <w:rFonts w:ascii="Times New Roman" w:hAnsi="Times New Roman" w:cs="Times New Roman"/>
          <w:sz w:val="24"/>
          <w:szCs w:val="24"/>
        </w:rPr>
        <w:t>Historyczno–prawna</w:t>
      </w:r>
      <w:proofErr w:type="spellEnd"/>
      <w:r w:rsidRPr="00306228">
        <w:rPr>
          <w:rFonts w:ascii="Times New Roman" w:hAnsi="Times New Roman" w:cs="Times New Roman"/>
          <w:sz w:val="24"/>
          <w:szCs w:val="24"/>
        </w:rPr>
        <w:t xml:space="preserve"> analiza, s. 83 </w:t>
      </w:r>
    </w:p>
    <w:p w:rsidR="00306228" w:rsidRPr="00306228" w:rsidRDefault="00306228" w:rsidP="00306228">
      <w:pPr>
        <w:rPr>
          <w:rFonts w:ascii="Times New Roman" w:hAnsi="Times New Roman" w:cs="Times New Roman"/>
          <w:sz w:val="24"/>
          <w:szCs w:val="24"/>
        </w:rPr>
      </w:pPr>
      <w:r w:rsidRPr="00306228">
        <w:rPr>
          <w:rFonts w:ascii="Times New Roman" w:hAnsi="Times New Roman" w:cs="Times New Roman"/>
          <w:sz w:val="24"/>
          <w:szCs w:val="24"/>
          <w:vertAlign w:val="superscript"/>
        </w:rPr>
        <w:t>102</w:t>
      </w:r>
      <w:r w:rsidRPr="00306228">
        <w:rPr>
          <w:rFonts w:ascii="Times New Roman" w:hAnsi="Times New Roman" w:cs="Times New Roman"/>
          <w:sz w:val="24"/>
          <w:szCs w:val="24"/>
        </w:rPr>
        <w:t xml:space="preserve"> </w:t>
      </w:r>
      <w:proofErr w:type="spellStart"/>
      <w:r w:rsidRPr="00306228">
        <w:rPr>
          <w:rFonts w:ascii="Times New Roman" w:hAnsi="Times New Roman" w:cs="Times New Roman"/>
          <w:sz w:val="24"/>
          <w:szCs w:val="24"/>
        </w:rPr>
        <w:t>Dz.U</w:t>
      </w:r>
      <w:proofErr w:type="spellEnd"/>
      <w:r w:rsidRPr="00306228">
        <w:rPr>
          <w:rFonts w:ascii="Times New Roman" w:hAnsi="Times New Roman" w:cs="Times New Roman"/>
          <w:sz w:val="24"/>
          <w:szCs w:val="24"/>
        </w:rPr>
        <w:t xml:space="preserve">. z 2007 r., nr 63, poz. 425, z </w:t>
      </w:r>
      <w:proofErr w:type="spellStart"/>
      <w:r w:rsidRPr="00306228">
        <w:rPr>
          <w:rFonts w:ascii="Times New Roman" w:hAnsi="Times New Roman" w:cs="Times New Roman"/>
          <w:sz w:val="24"/>
          <w:szCs w:val="24"/>
        </w:rPr>
        <w:t>późn</w:t>
      </w:r>
      <w:proofErr w:type="spellEnd"/>
      <w:r w:rsidRPr="00306228">
        <w:rPr>
          <w:rFonts w:ascii="Times New Roman" w:hAnsi="Times New Roman" w:cs="Times New Roman"/>
          <w:sz w:val="24"/>
          <w:szCs w:val="24"/>
        </w:rPr>
        <w:t xml:space="preserve">. zm. </w:t>
      </w:r>
    </w:p>
    <w:p w:rsidR="00F7507C" w:rsidRDefault="00306228" w:rsidP="00306228">
      <w:pPr>
        <w:rPr>
          <w:rFonts w:ascii="Times New Roman" w:hAnsi="Times New Roman" w:cs="Times New Roman"/>
          <w:sz w:val="24"/>
          <w:szCs w:val="24"/>
        </w:rPr>
      </w:pPr>
      <w:r w:rsidRPr="00D85FC5">
        <w:rPr>
          <w:rFonts w:ascii="Times New Roman" w:hAnsi="Times New Roman" w:cs="Times New Roman"/>
          <w:sz w:val="24"/>
          <w:szCs w:val="24"/>
          <w:vertAlign w:val="superscript"/>
        </w:rPr>
        <w:t>103</w:t>
      </w:r>
      <w:r w:rsidRPr="00306228">
        <w:rPr>
          <w:rFonts w:ascii="Times New Roman" w:hAnsi="Times New Roman" w:cs="Times New Roman"/>
          <w:sz w:val="24"/>
          <w:szCs w:val="24"/>
        </w:rPr>
        <w:t xml:space="preserve"> Dz. Urz. MSW z 1990 r., nr 2, poz. 10.</w:t>
      </w:r>
    </w:p>
    <w:p w:rsidR="00D85FC5" w:rsidRPr="00D85FC5" w:rsidRDefault="00D85FC5" w:rsidP="00D85FC5">
      <w:pPr>
        <w:rPr>
          <w:rFonts w:ascii="Times New Roman" w:hAnsi="Times New Roman" w:cs="Times New Roman"/>
          <w:sz w:val="24"/>
          <w:szCs w:val="24"/>
        </w:rPr>
      </w:pPr>
      <w:r w:rsidRPr="00D85FC5">
        <w:rPr>
          <w:rFonts w:ascii="Times New Roman" w:hAnsi="Times New Roman" w:cs="Times New Roman"/>
          <w:sz w:val="24"/>
          <w:szCs w:val="24"/>
          <w:vertAlign w:val="superscript"/>
        </w:rPr>
        <w:t>104</w:t>
      </w:r>
      <w:r w:rsidRPr="00D85FC5">
        <w:rPr>
          <w:rFonts w:ascii="Times New Roman" w:hAnsi="Times New Roman" w:cs="Times New Roman"/>
          <w:sz w:val="24"/>
          <w:szCs w:val="24"/>
        </w:rPr>
        <w:t xml:space="preserve"> </w:t>
      </w:r>
      <w:proofErr w:type="spellStart"/>
      <w:r w:rsidRPr="00D85FC5">
        <w:rPr>
          <w:rFonts w:ascii="Times New Roman" w:hAnsi="Times New Roman" w:cs="Times New Roman"/>
          <w:sz w:val="24"/>
          <w:szCs w:val="24"/>
        </w:rPr>
        <w:t>Ibidem</w:t>
      </w:r>
      <w:proofErr w:type="spellEnd"/>
      <w:r w:rsidRPr="00D85FC5">
        <w:rPr>
          <w:rFonts w:ascii="Times New Roman" w:hAnsi="Times New Roman" w:cs="Times New Roman"/>
          <w:sz w:val="24"/>
          <w:szCs w:val="24"/>
        </w:rPr>
        <w:t xml:space="preserve">. </w:t>
      </w:r>
    </w:p>
    <w:p w:rsidR="00D85FC5" w:rsidRDefault="00D85FC5" w:rsidP="00D85FC5">
      <w:pPr>
        <w:jc w:val="both"/>
        <w:rPr>
          <w:rFonts w:ascii="Times New Roman" w:hAnsi="Times New Roman" w:cs="Times New Roman"/>
          <w:sz w:val="24"/>
          <w:szCs w:val="24"/>
        </w:rPr>
      </w:pPr>
      <w:r w:rsidRPr="00D85FC5">
        <w:rPr>
          <w:rFonts w:ascii="Times New Roman" w:hAnsi="Times New Roman" w:cs="Times New Roman"/>
          <w:sz w:val="24"/>
          <w:szCs w:val="24"/>
          <w:vertAlign w:val="superscript"/>
        </w:rPr>
        <w:t>105</w:t>
      </w:r>
      <w:r w:rsidRPr="00D85FC5">
        <w:rPr>
          <w:rFonts w:ascii="Times New Roman" w:hAnsi="Times New Roman" w:cs="Times New Roman"/>
          <w:sz w:val="24"/>
          <w:szCs w:val="24"/>
        </w:rPr>
        <w:t xml:space="preserve"> Skład Komisji Kwalifikacyjnej ds. Kadr Centralnych wyglądał następująco: przewodniczący: Andrzej Milczanowski (zastępca szefa UOP); zastępca przewodniczącego: </w:t>
      </w:r>
      <w:r w:rsidRPr="00D85FC5">
        <w:rPr>
          <w:rFonts w:ascii="Times New Roman" w:hAnsi="Times New Roman" w:cs="Times New Roman"/>
          <w:sz w:val="24"/>
          <w:szCs w:val="24"/>
        </w:rPr>
        <w:lastRenderedPageBreak/>
        <w:t xml:space="preserve">Jerzy Zimowski (poseł na Sejm); sekretarz: Wojciech </w:t>
      </w:r>
      <w:proofErr w:type="spellStart"/>
      <w:r w:rsidRPr="00D85FC5">
        <w:rPr>
          <w:rFonts w:ascii="Times New Roman" w:hAnsi="Times New Roman" w:cs="Times New Roman"/>
          <w:sz w:val="24"/>
          <w:szCs w:val="24"/>
        </w:rPr>
        <w:t>Raduchowski–Brochwicz</w:t>
      </w:r>
      <w:proofErr w:type="spellEnd"/>
      <w:r w:rsidRPr="00D85FC5">
        <w:rPr>
          <w:rFonts w:ascii="Times New Roman" w:hAnsi="Times New Roman" w:cs="Times New Roman"/>
          <w:sz w:val="24"/>
          <w:szCs w:val="24"/>
        </w:rPr>
        <w:t xml:space="preserve">; członkowie: Tadeusz Bień (poseł na Sejm), dr Jerzy Ciemniewski (sekretarz Rady Ministrów), Wojciech </w:t>
      </w:r>
      <w:proofErr w:type="spellStart"/>
      <w:r w:rsidRPr="00D85FC5">
        <w:rPr>
          <w:rFonts w:ascii="Times New Roman" w:hAnsi="Times New Roman" w:cs="Times New Roman"/>
          <w:sz w:val="24"/>
          <w:szCs w:val="24"/>
        </w:rPr>
        <w:t>Bazydło</w:t>
      </w:r>
      <w:proofErr w:type="spellEnd"/>
      <w:r w:rsidRPr="00D85FC5">
        <w:rPr>
          <w:rFonts w:ascii="Times New Roman" w:hAnsi="Times New Roman" w:cs="Times New Roman"/>
          <w:sz w:val="24"/>
          <w:szCs w:val="24"/>
        </w:rPr>
        <w:t xml:space="preserve"> (dyrektor Zarządu Śledczego UOP), Piotr </w:t>
      </w:r>
      <w:proofErr w:type="spellStart"/>
      <w:r w:rsidRPr="00D85FC5">
        <w:rPr>
          <w:rFonts w:ascii="Times New Roman" w:hAnsi="Times New Roman" w:cs="Times New Roman"/>
          <w:sz w:val="24"/>
          <w:szCs w:val="24"/>
        </w:rPr>
        <w:t>Caliński</w:t>
      </w:r>
      <w:proofErr w:type="spellEnd"/>
      <w:r w:rsidRPr="00D85FC5">
        <w:rPr>
          <w:rFonts w:ascii="Times New Roman" w:hAnsi="Times New Roman" w:cs="Times New Roman"/>
          <w:sz w:val="24"/>
          <w:szCs w:val="24"/>
        </w:rPr>
        <w:t xml:space="preserve"> (Związek Zawodowy Policjantów), Piotr Krawczyk (Urząd Rady Ministrów), płk Bogusław Strzelecki (zastępca komendanta głównego Policji), Andrzej Szczur (Nadzwyczajna Komisja Sejmowa </w:t>
      </w:r>
      <w:r>
        <w:rPr>
          <w:rFonts w:ascii="Times New Roman" w:hAnsi="Times New Roman" w:cs="Times New Roman"/>
          <w:sz w:val="24"/>
          <w:szCs w:val="24"/>
        </w:rPr>
        <w:t xml:space="preserve">                </w:t>
      </w:r>
      <w:r w:rsidRPr="00D85FC5">
        <w:rPr>
          <w:rFonts w:ascii="Times New Roman" w:hAnsi="Times New Roman" w:cs="Times New Roman"/>
          <w:sz w:val="24"/>
          <w:szCs w:val="24"/>
        </w:rPr>
        <w:t xml:space="preserve">do Badania Działalności MSW), płk Czesław Żmuda (dyrektor Gabinetu Ministra Spraw Wewnętrznych) — zob. Decyzja Szefa UOP z dnia 27 VI 1990 r. w sprawie powołania Komisji Kwalifikacyjnej do Spraw Kadr Centralnych (AIPN BU, 1619/1410, k. 175). 106 A. Dudek, op. cit., s. 475. </w:t>
      </w:r>
    </w:p>
    <w:p w:rsidR="001955A3" w:rsidRDefault="001955A3" w:rsidP="001955A3">
      <w:pPr>
        <w:jc w:val="both"/>
        <w:rPr>
          <w:rFonts w:ascii="Times New Roman" w:hAnsi="Times New Roman" w:cs="Times New Roman"/>
          <w:sz w:val="24"/>
          <w:szCs w:val="24"/>
        </w:rPr>
      </w:pPr>
      <w:r w:rsidRPr="001955A3">
        <w:rPr>
          <w:rFonts w:ascii="Times New Roman" w:hAnsi="Times New Roman" w:cs="Times New Roman"/>
          <w:sz w:val="24"/>
          <w:szCs w:val="24"/>
          <w:vertAlign w:val="superscript"/>
        </w:rPr>
        <w:t>106</w:t>
      </w:r>
      <w:r w:rsidRPr="001955A3">
        <w:rPr>
          <w:rFonts w:ascii="Times New Roman" w:hAnsi="Times New Roman" w:cs="Times New Roman"/>
          <w:sz w:val="24"/>
          <w:szCs w:val="24"/>
        </w:rPr>
        <w:t xml:space="preserve">  A. Dudek, op. cit., s. 475</w:t>
      </w:r>
    </w:p>
    <w:p w:rsidR="001955A3" w:rsidRPr="001955A3" w:rsidRDefault="001955A3" w:rsidP="001955A3">
      <w:pPr>
        <w:jc w:val="both"/>
        <w:rPr>
          <w:rFonts w:ascii="Times New Roman" w:hAnsi="Times New Roman" w:cs="Times New Roman"/>
          <w:sz w:val="24"/>
          <w:szCs w:val="24"/>
        </w:rPr>
      </w:pPr>
      <w:r w:rsidRPr="001955A3">
        <w:rPr>
          <w:rFonts w:ascii="Times New Roman" w:eastAsia="Times New Roman" w:hAnsi="Times New Roman" w:cs="Times New Roman"/>
          <w:sz w:val="24"/>
          <w:szCs w:val="24"/>
          <w:vertAlign w:val="superscript"/>
          <w:lang w:eastAsia="pl-PL"/>
        </w:rPr>
        <w:t xml:space="preserve">107 </w:t>
      </w:r>
      <w:r w:rsidRPr="001955A3">
        <w:rPr>
          <w:rFonts w:ascii="Times New Roman" w:eastAsia="Times New Roman" w:hAnsi="Times New Roman" w:cs="Times New Roman"/>
          <w:sz w:val="24"/>
          <w:szCs w:val="24"/>
          <w:lang w:eastAsia="pl-PL"/>
        </w:rPr>
        <w:t>Wstęp redakcji do „PBW. Wydanie specjalne. 20–lecie UOP/ABW”, s. 9</w:t>
      </w:r>
    </w:p>
    <w:p w:rsidR="00D85FC5" w:rsidRPr="00D85FC5" w:rsidRDefault="001955A3" w:rsidP="001955A3">
      <w:pPr>
        <w:jc w:val="both"/>
        <w:rPr>
          <w:rFonts w:ascii="Times New Roman" w:hAnsi="Times New Roman" w:cs="Times New Roman"/>
          <w:sz w:val="24"/>
          <w:szCs w:val="24"/>
        </w:rPr>
      </w:pPr>
      <w:r w:rsidRPr="001955A3">
        <w:rPr>
          <w:rFonts w:ascii="Times New Roman" w:hAnsi="Times New Roman" w:cs="Times New Roman"/>
          <w:sz w:val="24"/>
          <w:szCs w:val="24"/>
          <w:vertAlign w:val="superscript"/>
        </w:rPr>
        <w:t>108</w:t>
      </w:r>
      <w:r w:rsidRPr="001955A3">
        <w:rPr>
          <w:rFonts w:ascii="Times New Roman" w:hAnsi="Times New Roman" w:cs="Times New Roman"/>
          <w:sz w:val="24"/>
          <w:szCs w:val="24"/>
        </w:rPr>
        <w:t xml:space="preserve"> A. Dudek, op. cit., s. 476. W liście prof. </w:t>
      </w:r>
      <w:proofErr w:type="spellStart"/>
      <w:r w:rsidRPr="001955A3">
        <w:rPr>
          <w:rFonts w:ascii="Times New Roman" w:hAnsi="Times New Roman" w:cs="Times New Roman"/>
          <w:sz w:val="24"/>
          <w:szCs w:val="24"/>
        </w:rPr>
        <w:t>Wi</w:t>
      </w:r>
      <w:r>
        <w:rPr>
          <w:rFonts w:ascii="Times New Roman" w:hAnsi="Times New Roman" w:cs="Times New Roman"/>
          <w:sz w:val="24"/>
          <w:szCs w:val="24"/>
        </w:rPr>
        <w:t>dacki</w:t>
      </w:r>
      <w:proofErr w:type="spellEnd"/>
      <w:r>
        <w:rPr>
          <w:rFonts w:ascii="Times New Roman" w:hAnsi="Times New Roman" w:cs="Times New Roman"/>
          <w:sz w:val="24"/>
          <w:szCs w:val="24"/>
        </w:rPr>
        <w:t xml:space="preserve"> podaje, że CKK zatwierdzi</w:t>
      </w:r>
      <w:r w:rsidRPr="001955A3">
        <w:rPr>
          <w:rFonts w:ascii="Times New Roman" w:hAnsi="Times New Roman" w:cs="Times New Roman"/>
          <w:sz w:val="24"/>
          <w:szCs w:val="24"/>
        </w:rPr>
        <w:t>ła ponad tysiąc negatywnych opinii wojewódzkich komisji kwalifikacyjnych, natomiast w przypadku pozostałych CKK zwróciła się do WKK z prośbą o ich uzasadnienie. Do 29 sierpnia (da</w:t>
      </w:r>
      <w:r>
        <w:rPr>
          <w:rFonts w:ascii="Times New Roman" w:hAnsi="Times New Roman" w:cs="Times New Roman"/>
          <w:sz w:val="24"/>
          <w:szCs w:val="24"/>
        </w:rPr>
        <w:t xml:space="preserve">ta listu) nie uchylono decyzji </w:t>
      </w:r>
      <w:r w:rsidRPr="001955A3">
        <w:rPr>
          <w:rFonts w:ascii="Times New Roman" w:hAnsi="Times New Roman" w:cs="Times New Roman"/>
          <w:sz w:val="24"/>
          <w:szCs w:val="24"/>
        </w:rPr>
        <w:t>negatywnych komisji wojewódzkich.</w:t>
      </w:r>
    </w:p>
    <w:p w:rsidR="00D85FC5" w:rsidRDefault="001955A3" w:rsidP="001955A3">
      <w:pPr>
        <w:jc w:val="both"/>
        <w:rPr>
          <w:rFonts w:ascii="Times New Roman" w:hAnsi="Times New Roman" w:cs="Times New Roman"/>
          <w:sz w:val="24"/>
          <w:szCs w:val="24"/>
        </w:rPr>
      </w:pPr>
      <w:r w:rsidRPr="001955A3">
        <w:rPr>
          <w:rFonts w:ascii="Times New Roman" w:hAnsi="Times New Roman" w:cs="Times New Roman"/>
          <w:sz w:val="24"/>
          <w:szCs w:val="24"/>
          <w:vertAlign w:val="superscript"/>
        </w:rPr>
        <w:t>109</w:t>
      </w:r>
      <w:r w:rsidRPr="001955A3">
        <w:rPr>
          <w:rFonts w:ascii="Times New Roman" w:hAnsi="Times New Roman" w:cs="Times New Roman"/>
          <w:sz w:val="24"/>
          <w:szCs w:val="24"/>
        </w:rPr>
        <w:t xml:space="preserve"> Jan </w:t>
      </w:r>
      <w:proofErr w:type="spellStart"/>
      <w:r w:rsidRPr="001955A3">
        <w:rPr>
          <w:rFonts w:ascii="Times New Roman" w:hAnsi="Times New Roman" w:cs="Times New Roman"/>
          <w:sz w:val="24"/>
          <w:szCs w:val="24"/>
        </w:rPr>
        <w:t>Widacki</w:t>
      </w:r>
      <w:proofErr w:type="spellEnd"/>
      <w:r w:rsidRPr="001955A3">
        <w:rPr>
          <w:rFonts w:ascii="Times New Roman" w:hAnsi="Times New Roman" w:cs="Times New Roman"/>
          <w:sz w:val="24"/>
          <w:szCs w:val="24"/>
        </w:rPr>
        <w:t xml:space="preserve">, List do członków wojewódzkich komisji kwalifikacyjnych — kopia </w:t>
      </w:r>
      <w:r>
        <w:rPr>
          <w:rFonts w:ascii="Times New Roman" w:hAnsi="Times New Roman" w:cs="Times New Roman"/>
          <w:sz w:val="24"/>
          <w:szCs w:val="24"/>
        </w:rPr>
        <w:t xml:space="preserve">             </w:t>
      </w:r>
      <w:r w:rsidRPr="001955A3">
        <w:rPr>
          <w:rFonts w:ascii="Times New Roman" w:hAnsi="Times New Roman" w:cs="Times New Roman"/>
          <w:sz w:val="24"/>
          <w:szCs w:val="24"/>
        </w:rPr>
        <w:t>w zbiorach autora.</w:t>
      </w:r>
    </w:p>
    <w:p w:rsidR="00D85FC5" w:rsidRPr="00D85FC5" w:rsidRDefault="001955A3" w:rsidP="00E91A28">
      <w:pPr>
        <w:jc w:val="both"/>
        <w:rPr>
          <w:rFonts w:ascii="Times New Roman" w:hAnsi="Times New Roman" w:cs="Times New Roman"/>
          <w:sz w:val="24"/>
          <w:szCs w:val="24"/>
        </w:rPr>
      </w:pPr>
      <w:r w:rsidRPr="001955A3">
        <w:rPr>
          <w:rFonts w:ascii="Times New Roman" w:hAnsi="Times New Roman" w:cs="Times New Roman"/>
          <w:sz w:val="24"/>
          <w:szCs w:val="24"/>
          <w:vertAlign w:val="superscript"/>
        </w:rPr>
        <w:t>110</w:t>
      </w:r>
      <w:r w:rsidRPr="001955A3">
        <w:rPr>
          <w:rFonts w:ascii="Times New Roman" w:hAnsi="Times New Roman" w:cs="Times New Roman"/>
          <w:sz w:val="24"/>
          <w:szCs w:val="24"/>
        </w:rPr>
        <w:t xml:space="preserve"> </w:t>
      </w:r>
      <w:proofErr w:type="spellStart"/>
      <w:r w:rsidRPr="001955A3">
        <w:rPr>
          <w:rFonts w:ascii="Times New Roman" w:hAnsi="Times New Roman" w:cs="Times New Roman"/>
          <w:sz w:val="24"/>
          <w:szCs w:val="24"/>
        </w:rPr>
        <w:t>Ibidem</w:t>
      </w:r>
      <w:proofErr w:type="spellEnd"/>
      <w:r w:rsidRPr="001955A3">
        <w:rPr>
          <w:rFonts w:ascii="Times New Roman" w:hAnsi="Times New Roman" w:cs="Times New Roman"/>
          <w:sz w:val="24"/>
          <w:szCs w:val="24"/>
        </w:rPr>
        <w:t>, s. 476, 477.</w:t>
      </w:r>
    </w:p>
    <w:p w:rsidR="00E91A28" w:rsidRPr="00E91A28" w:rsidRDefault="00E91A28" w:rsidP="00E91A28">
      <w:pPr>
        <w:shd w:val="clear" w:color="auto" w:fill="FFFFFF"/>
        <w:spacing w:before="240" w:after="240" w:line="240" w:lineRule="auto"/>
        <w:jc w:val="both"/>
        <w:rPr>
          <w:rFonts w:ascii="Times New Roman" w:hAnsi="Times New Roman" w:cs="Times New Roman"/>
          <w:b/>
          <w:sz w:val="24"/>
          <w:szCs w:val="24"/>
        </w:rPr>
      </w:pPr>
      <w:r w:rsidRPr="00E91A28">
        <w:rPr>
          <w:rFonts w:ascii="Times New Roman" w:hAnsi="Times New Roman" w:cs="Times New Roman"/>
          <w:b/>
          <w:sz w:val="24"/>
          <w:szCs w:val="24"/>
        </w:rPr>
        <w:t>Komentarz redakcyjny</w:t>
      </w:r>
    </w:p>
    <w:p w:rsidR="00E91A28" w:rsidRDefault="00E91A28" w:rsidP="00E91A28">
      <w:pPr>
        <w:shd w:val="clear" w:color="auto" w:fill="FFFFFF"/>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Trudno zrozumieć dlaczego ten szczególny poziom wyjaśnień historyka IPN, jest pełny kłamstw, przekłamań i niedomówień. Jest to dobitnie widoczne w przedstawionym wyżej odsyłaczu oznaczonym liczbą 100. Nie można wykluczyć celowej manipulacji, a gdyby         ją wykluczyć to trzeba postawić pytanie o poziom warsztatu tego historyka. Analizując „wyjaśnienia” tego, a także innych jakże skrupulatnych i rzete</w:t>
      </w:r>
      <w:r w:rsidR="002E2BC8">
        <w:rPr>
          <w:rFonts w:ascii="Times New Roman" w:hAnsi="Times New Roman" w:cs="Times New Roman"/>
          <w:sz w:val="24"/>
          <w:szCs w:val="24"/>
        </w:rPr>
        <w:t xml:space="preserve">lnych badaczy dokumentów,     </w:t>
      </w:r>
      <w:r>
        <w:rPr>
          <w:rFonts w:ascii="Times New Roman" w:hAnsi="Times New Roman" w:cs="Times New Roman"/>
          <w:sz w:val="24"/>
          <w:szCs w:val="24"/>
        </w:rPr>
        <w:t xml:space="preserve"> trzeba szczególnie podkreślić, że pomijają oni całkowicie kilka oczywistych oczywistości, a wśród nich i trudny do zrozumienia  fakt wprowadzenia w życie ujednoliconej wersji Instrukcji która miała powstać dopiero w dniu 28 czerwca 1990 roku, a została ujawniona       2 lipca 1990 roku, zarządzeniem Ministra Spraw Wewnętrznych z dnia 25 czerwca 1990 roku, czyli kilka dni przedtem zanim jakoby miała powstać. To logika trudna do pojęcia dla zwykłego człowieka, ale nie dla historyka IPN, który jak widać potrafi rozwiązać każdą kwadraturę koła. To logika, która wpycha zwykłego człowieka w otchłań wieloletniego bezprawia przykrytego parasolem przemocy państwa. </w:t>
      </w:r>
      <w:r w:rsidRPr="00C85274">
        <w:rPr>
          <w:rFonts w:ascii="Times New Roman" w:hAnsi="Times New Roman" w:cs="Times New Roman"/>
          <w:b/>
          <w:sz w:val="24"/>
          <w:szCs w:val="24"/>
        </w:rPr>
        <w:t>Najbardziej ordynarnym kłamstwem w treści przedstawionego wyżej odsyłacza, jest stwierdzenie</w:t>
      </w:r>
      <w:r>
        <w:rPr>
          <w:rFonts w:ascii="Times New Roman" w:hAnsi="Times New Roman" w:cs="Times New Roman"/>
          <w:sz w:val="24"/>
          <w:szCs w:val="24"/>
        </w:rPr>
        <w:t xml:space="preserve"> </w:t>
      </w:r>
      <w:r w:rsidRPr="0045415B">
        <w:rPr>
          <w:rFonts w:ascii="Times New Roman" w:hAnsi="Times New Roman" w:cs="Times New Roman"/>
          <w:sz w:val="24"/>
          <w:szCs w:val="24"/>
        </w:rPr>
        <w:t>„</w:t>
      </w:r>
      <w:r w:rsidRPr="0045415B">
        <w:rPr>
          <w:rFonts w:ascii="Times New Roman" w:hAnsi="Times New Roman" w:cs="Times New Roman"/>
          <w:i/>
          <w:sz w:val="24"/>
          <w:szCs w:val="24"/>
        </w:rPr>
        <w:t xml:space="preserve">Oryginał znajduje się </w:t>
      </w:r>
      <w:r>
        <w:rPr>
          <w:rFonts w:ascii="Times New Roman" w:hAnsi="Times New Roman" w:cs="Times New Roman"/>
          <w:i/>
          <w:sz w:val="24"/>
          <w:szCs w:val="24"/>
        </w:rPr>
        <w:t xml:space="preserve">          </w:t>
      </w:r>
      <w:r w:rsidRPr="0045415B">
        <w:rPr>
          <w:rFonts w:ascii="Times New Roman" w:hAnsi="Times New Roman" w:cs="Times New Roman"/>
          <w:i/>
          <w:sz w:val="24"/>
          <w:szCs w:val="24"/>
        </w:rPr>
        <w:t>w archiwum Ministerstwa Spraw Wewnętrznych</w:t>
      </w:r>
      <w:r w:rsidRPr="00D30F33">
        <w:rPr>
          <w:rFonts w:ascii="Times New Roman" w:hAnsi="Times New Roman" w:cs="Times New Roman"/>
          <w:i/>
          <w:sz w:val="24"/>
          <w:szCs w:val="24"/>
        </w:rPr>
        <w:t>.</w:t>
      </w:r>
      <w:r>
        <w:rPr>
          <w:rFonts w:ascii="Times New Roman" w:hAnsi="Times New Roman" w:cs="Times New Roman"/>
          <w:i/>
          <w:sz w:val="24"/>
          <w:szCs w:val="24"/>
        </w:rPr>
        <w:t xml:space="preserve"> Instytut Pamięci Narodowej w związku          z wykonywaniem swoich obowiązków ustawowych otrzymał uwierzytelnioną kopię Instrukcji, która znajduje się w dyspozycji Biura Lustracyjnego IPN.” </w:t>
      </w:r>
      <w:r w:rsidRPr="00D30F33">
        <w:rPr>
          <w:rFonts w:ascii="Times New Roman" w:hAnsi="Times New Roman" w:cs="Times New Roman"/>
          <w:sz w:val="24"/>
          <w:szCs w:val="24"/>
        </w:rPr>
        <w:t>I w tym miejscu</w:t>
      </w:r>
      <w:r>
        <w:rPr>
          <w:rFonts w:ascii="Times New Roman" w:hAnsi="Times New Roman" w:cs="Times New Roman"/>
          <w:sz w:val="24"/>
          <w:szCs w:val="24"/>
        </w:rPr>
        <w:t xml:space="preserve"> widać</w:t>
      </w:r>
      <w:r w:rsidRPr="00D30F33">
        <w:rPr>
          <w:rFonts w:ascii="Times New Roman" w:hAnsi="Times New Roman" w:cs="Times New Roman"/>
          <w:sz w:val="24"/>
          <w:szCs w:val="24"/>
        </w:rPr>
        <w:t xml:space="preserve">, </w:t>
      </w:r>
      <w:r>
        <w:rPr>
          <w:rFonts w:ascii="Times New Roman" w:hAnsi="Times New Roman" w:cs="Times New Roman"/>
          <w:sz w:val="24"/>
          <w:szCs w:val="24"/>
        </w:rPr>
        <w:t xml:space="preserve">jak </w:t>
      </w:r>
      <w:r w:rsidRPr="00D30F33">
        <w:rPr>
          <w:rFonts w:ascii="Times New Roman" w:hAnsi="Times New Roman" w:cs="Times New Roman"/>
          <w:sz w:val="24"/>
          <w:szCs w:val="24"/>
        </w:rPr>
        <w:t>przestępstwo goni przestępstwo.</w:t>
      </w:r>
      <w:r>
        <w:rPr>
          <w:rFonts w:ascii="Times New Roman" w:hAnsi="Times New Roman" w:cs="Times New Roman"/>
          <w:sz w:val="24"/>
          <w:szCs w:val="24"/>
        </w:rPr>
        <w:t xml:space="preserve"> </w:t>
      </w:r>
    </w:p>
    <w:p w:rsidR="00D85FC5" w:rsidRPr="00D85FC5" w:rsidRDefault="00D85FC5" w:rsidP="00D85FC5">
      <w:pPr>
        <w:rPr>
          <w:rFonts w:ascii="Times New Roman" w:hAnsi="Times New Roman" w:cs="Times New Roman"/>
          <w:sz w:val="24"/>
          <w:szCs w:val="24"/>
        </w:rPr>
      </w:pPr>
    </w:p>
    <w:p w:rsidR="00D85FC5" w:rsidRPr="00D85FC5" w:rsidRDefault="00D85FC5" w:rsidP="00D85FC5">
      <w:pPr>
        <w:rPr>
          <w:rFonts w:ascii="Times New Roman" w:hAnsi="Times New Roman" w:cs="Times New Roman"/>
          <w:sz w:val="24"/>
          <w:szCs w:val="24"/>
        </w:rPr>
      </w:pPr>
    </w:p>
    <w:p w:rsidR="00D85FC5" w:rsidRPr="00D85FC5" w:rsidRDefault="00D85FC5" w:rsidP="00D85FC5">
      <w:pPr>
        <w:rPr>
          <w:rFonts w:ascii="Times New Roman" w:hAnsi="Times New Roman" w:cs="Times New Roman"/>
          <w:sz w:val="24"/>
          <w:szCs w:val="24"/>
        </w:rPr>
      </w:pPr>
    </w:p>
    <w:p w:rsidR="00D85FC5" w:rsidRDefault="00D85FC5" w:rsidP="00306228">
      <w:pPr>
        <w:rPr>
          <w:rFonts w:ascii="Times New Roman" w:hAnsi="Times New Roman" w:cs="Times New Roman"/>
          <w:sz w:val="24"/>
          <w:szCs w:val="24"/>
        </w:rPr>
      </w:pPr>
    </w:p>
    <w:sectPr w:rsidR="00D85FC5" w:rsidSect="00F75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306228"/>
    <w:rsid w:val="001955A3"/>
    <w:rsid w:val="002E2BC8"/>
    <w:rsid w:val="00306228"/>
    <w:rsid w:val="00367706"/>
    <w:rsid w:val="004509DE"/>
    <w:rsid w:val="00605504"/>
    <w:rsid w:val="009838A5"/>
    <w:rsid w:val="00B15C96"/>
    <w:rsid w:val="00D85FC5"/>
    <w:rsid w:val="00E91A28"/>
    <w:rsid w:val="00ED425C"/>
    <w:rsid w:val="00F750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06420">
      <w:bodyDiv w:val="1"/>
      <w:marLeft w:val="0"/>
      <w:marRight w:val="0"/>
      <w:marTop w:val="0"/>
      <w:marBottom w:val="0"/>
      <w:divBdr>
        <w:top w:val="none" w:sz="0" w:space="0" w:color="auto"/>
        <w:left w:val="none" w:sz="0" w:space="0" w:color="auto"/>
        <w:bottom w:val="none" w:sz="0" w:space="0" w:color="auto"/>
        <w:right w:val="none" w:sz="0" w:space="0" w:color="auto"/>
      </w:divBdr>
      <w:divsChild>
        <w:div w:id="1756592426">
          <w:marLeft w:val="0"/>
          <w:marRight w:val="0"/>
          <w:marTop w:val="0"/>
          <w:marBottom w:val="0"/>
          <w:divBdr>
            <w:top w:val="none" w:sz="0" w:space="0" w:color="auto"/>
            <w:left w:val="none" w:sz="0" w:space="0" w:color="auto"/>
            <w:bottom w:val="none" w:sz="0" w:space="0" w:color="auto"/>
            <w:right w:val="none" w:sz="0" w:space="0" w:color="auto"/>
          </w:divBdr>
        </w:div>
        <w:div w:id="1870219287">
          <w:marLeft w:val="0"/>
          <w:marRight w:val="0"/>
          <w:marTop w:val="0"/>
          <w:marBottom w:val="0"/>
          <w:divBdr>
            <w:top w:val="none" w:sz="0" w:space="0" w:color="auto"/>
            <w:left w:val="none" w:sz="0" w:space="0" w:color="auto"/>
            <w:bottom w:val="none" w:sz="0" w:space="0" w:color="auto"/>
            <w:right w:val="none" w:sz="0" w:space="0" w:color="auto"/>
          </w:divBdr>
        </w:div>
        <w:div w:id="977995817">
          <w:marLeft w:val="0"/>
          <w:marRight w:val="0"/>
          <w:marTop w:val="0"/>
          <w:marBottom w:val="0"/>
          <w:divBdr>
            <w:top w:val="none" w:sz="0" w:space="0" w:color="auto"/>
            <w:left w:val="none" w:sz="0" w:space="0" w:color="auto"/>
            <w:bottom w:val="none" w:sz="0" w:space="0" w:color="auto"/>
            <w:right w:val="none" w:sz="0" w:space="0" w:color="auto"/>
          </w:divBdr>
        </w:div>
        <w:div w:id="701786193">
          <w:marLeft w:val="0"/>
          <w:marRight w:val="0"/>
          <w:marTop w:val="0"/>
          <w:marBottom w:val="0"/>
          <w:divBdr>
            <w:top w:val="none" w:sz="0" w:space="0" w:color="auto"/>
            <w:left w:val="none" w:sz="0" w:space="0" w:color="auto"/>
            <w:bottom w:val="none" w:sz="0" w:space="0" w:color="auto"/>
            <w:right w:val="none" w:sz="0" w:space="0" w:color="auto"/>
          </w:divBdr>
        </w:div>
      </w:divsChild>
    </w:div>
    <w:div w:id="290866897">
      <w:bodyDiv w:val="1"/>
      <w:marLeft w:val="0"/>
      <w:marRight w:val="0"/>
      <w:marTop w:val="0"/>
      <w:marBottom w:val="0"/>
      <w:divBdr>
        <w:top w:val="none" w:sz="0" w:space="0" w:color="auto"/>
        <w:left w:val="none" w:sz="0" w:space="0" w:color="auto"/>
        <w:bottom w:val="none" w:sz="0" w:space="0" w:color="auto"/>
        <w:right w:val="none" w:sz="0" w:space="0" w:color="auto"/>
      </w:divBdr>
      <w:divsChild>
        <w:div w:id="1720855214">
          <w:marLeft w:val="0"/>
          <w:marRight w:val="0"/>
          <w:marTop w:val="0"/>
          <w:marBottom w:val="0"/>
          <w:divBdr>
            <w:top w:val="none" w:sz="0" w:space="0" w:color="auto"/>
            <w:left w:val="none" w:sz="0" w:space="0" w:color="auto"/>
            <w:bottom w:val="none" w:sz="0" w:space="0" w:color="auto"/>
            <w:right w:val="none" w:sz="0" w:space="0" w:color="auto"/>
          </w:divBdr>
        </w:div>
        <w:div w:id="2045907024">
          <w:marLeft w:val="0"/>
          <w:marRight w:val="0"/>
          <w:marTop w:val="0"/>
          <w:marBottom w:val="0"/>
          <w:divBdr>
            <w:top w:val="none" w:sz="0" w:space="0" w:color="auto"/>
            <w:left w:val="none" w:sz="0" w:space="0" w:color="auto"/>
            <w:bottom w:val="none" w:sz="0" w:space="0" w:color="auto"/>
            <w:right w:val="none" w:sz="0" w:space="0" w:color="auto"/>
          </w:divBdr>
        </w:div>
        <w:div w:id="1524903628">
          <w:marLeft w:val="0"/>
          <w:marRight w:val="0"/>
          <w:marTop w:val="0"/>
          <w:marBottom w:val="0"/>
          <w:divBdr>
            <w:top w:val="none" w:sz="0" w:space="0" w:color="auto"/>
            <w:left w:val="none" w:sz="0" w:space="0" w:color="auto"/>
            <w:bottom w:val="none" w:sz="0" w:space="0" w:color="auto"/>
            <w:right w:val="none" w:sz="0" w:space="0" w:color="auto"/>
          </w:divBdr>
        </w:div>
        <w:div w:id="1429500171">
          <w:marLeft w:val="0"/>
          <w:marRight w:val="0"/>
          <w:marTop w:val="0"/>
          <w:marBottom w:val="0"/>
          <w:divBdr>
            <w:top w:val="none" w:sz="0" w:space="0" w:color="auto"/>
            <w:left w:val="none" w:sz="0" w:space="0" w:color="auto"/>
            <w:bottom w:val="none" w:sz="0" w:space="0" w:color="auto"/>
            <w:right w:val="none" w:sz="0" w:space="0" w:color="auto"/>
          </w:divBdr>
        </w:div>
        <w:div w:id="1598906120">
          <w:marLeft w:val="0"/>
          <w:marRight w:val="0"/>
          <w:marTop w:val="0"/>
          <w:marBottom w:val="0"/>
          <w:divBdr>
            <w:top w:val="none" w:sz="0" w:space="0" w:color="auto"/>
            <w:left w:val="none" w:sz="0" w:space="0" w:color="auto"/>
            <w:bottom w:val="none" w:sz="0" w:space="0" w:color="auto"/>
            <w:right w:val="none" w:sz="0" w:space="0" w:color="auto"/>
          </w:divBdr>
        </w:div>
        <w:div w:id="1304775451">
          <w:marLeft w:val="0"/>
          <w:marRight w:val="0"/>
          <w:marTop w:val="0"/>
          <w:marBottom w:val="0"/>
          <w:divBdr>
            <w:top w:val="none" w:sz="0" w:space="0" w:color="auto"/>
            <w:left w:val="none" w:sz="0" w:space="0" w:color="auto"/>
            <w:bottom w:val="none" w:sz="0" w:space="0" w:color="auto"/>
            <w:right w:val="none" w:sz="0" w:space="0" w:color="auto"/>
          </w:divBdr>
        </w:div>
        <w:div w:id="1981416642">
          <w:marLeft w:val="0"/>
          <w:marRight w:val="0"/>
          <w:marTop w:val="0"/>
          <w:marBottom w:val="0"/>
          <w:divBdr>
            <w:top w:val="none" w:sz="0" w:space="0" w:color="auto"/>
            <w:left w:val="none" w:sz="0" w:space="0" w:color="auto"/>
            <w:bottom w:val="none" w:sz="0" w:space="0" w:color="auto"/>
            <w:right w:val="none" w:sz="0" w:space="0" w:color="auto"/>
          </w:divBdr>
        </w:div>
      </w:divsChild>
    </w:div>
    <w:div w:id="1970087111">
      <w:bodyDiv w:val="1"/>
      <w:marLeft w:val="0"/>
      <w:marRight w:val="0"/>
      <w:marTop w:val="0"/>
      <w:marBottom w:val="0"/>
      <w:divBdr>
        <w:top w:val="none" w:sz="0" w:space="0" w:color="auto"/>
        <w:left w:val="none" w:sz="0" w:space="0" w:color="auto"/>
        <w:bottom w:val="none" w:sz="0" w:space="0" w:color="auto"/>
        <w:right w:val="none" w:sz="0" w:space="0" w:color="auto"/>
      </w:divBdr>
      <w:divsChild>
        <w:div w:id="139034228">
          <w:marLeft w:val="0"/>
          <w:marRight w:val="0"/>
          <w:marTop w:val="0"/>
          <w:marBottom w:val="0"/>
          <w:divBdr>
            <w:top w:val="none" w:sz="0" w:space="0" w:color="auto"/>
            <w:left w:val="none" w:sz="0" w:space="0" w:color="auto"/>
            <w:bottom w:val="none" w:sz="0" w:space="0" w:color="auto"/>
            <w:right w:val="none" w:sz="0" w:space="0" w:color="auto"/>
          </w:divBdr>
        </w:div>
        <w:div w:id="1563171720">
          <w:marLeft w:val="0"/>
          <w:marRight w:val="0"/>
          <w:marTop w:val="0"/>
          <w:marBottom w:val="0"/>
          <w:divBdr>
            <w:top w:val="none" w:sz="0" w:space="0" w:color="auto"/>
            <w:left w:val="none" w:sz="0" w:space="0" w:color="auto"/>
            <w:bottom w:val="none" w:sz="0" w:space="0" w:color="auto"/>
            <w:right w:val="none" w:sz="0" w:space="0" w:color="auto"/>
          </w:divBdr>
        </w:div>
        <w:div w:id="768235034">
          <w:marLeft w:val="0"/>
          <w:marRight w:val="0"/>
          <w:marTop w:val="0"/>
          <w:marBottom w:val="0"/>
          <w:divBdr>
            <w:top w:val="none" w:sz="0" w:space="0" w:color="auto"/>
            <w:left w:val="none" w:sz="0" w:space="0" w:color="auto"/>
            <w:bottom w:val="none" w:sz="0" w:space="0" w:color="auto"/>
            <w:right w:val="none" w:sz="0" w:space="0" w:color="auto"/>
          </w:divBdr>
        </w:div>
        <w:div w:id="1294600806">
          <w:marLeft w:val="0"/>
          <w:marRight w:val="0"/>
          <w:marTop w:val="0"/>
          <w:marBottom w:val="0"/>
          <w:divBdr>
            <w:top w:val="none" w:sz="0" w:space="0" w:color="auto"/>
            <w:left w:val="none" w:sz="0" w:space="0" w:color="auto"/>
            <w:bottom w:val="none" w:sz="0" w:space="0" w:color="auto"/>
            <w:right w:val="none" w:sz="0" w:space="0" w:color="auto"/>
          </w:divBdr>
        </w:div>
        <w:div w:id="1887446251">
          <w:marLeft w:val="0"/>
          <w:marRight w:val="0"/>
          <w:marTop w:val="0"/>
          <w:marBottom w:val="0"/>
          <w:divBdr>
            <w:top w:val="none" w:sz="0" w:space="0" w:color="auto"/>
            <w:left w:val="none" w:sz="0" w:space="0" w:color="auto"/>
            <w:bottom w:val="none" w:sz="0" w:space="0" w:color="auto"/>
            <w:right w:val="none" w:sz="0" w:space="0" w:color="auto"/>
          </w:divBdr>
        </w:div>
        <w:div w:id="1568295357">
          <w:marLeft w:val="0"/>
          <w:marRight w:val="0"/>
          <w:marTop w:val="0"/>
          <w:marBottom w:val="0"/>
          <w:divBdr>
            <w:top w:val="none" w:sz="0" w:space="0" w:color="auto"/>
            <w:left w:val="none" w:sz="0" w:space="0" w:color="auto"/>
            <w:bottom w:val="none" w:sz="0" w:space="0" w:color="auto"/>
            <w:right w:val="none" w:sz="0" w:space="0" w:color="auto"/>
          </w:divBdr>
        </w:div>
      </w:divsChild>
    </w:div>
    <w:div w:id="2109891117">
      <w:bodyDiv w:val="1"/>
      <w:marLeft w:val="0"/>
      <w:marRight w:val="0"/>
      <w:marTop w:val="0"/>
      <w:marBottom w:val="0"/>
      <w:divBdr>
        <w:top w:val="none" w:sz="0" w:space="0" w:color="auto"/>
        <w:left w:val="none" w:sz="0" w:space="0" w:color="auto"/>
        <w:bottom w:val="none" w:sz="0" w:space="0" w:color="auto"/>
        <w:right w:val="none" w:sz="0" w:space="0" w:color="auto"/>
      </w:divBdr>
      <w:divsChild>
        <w:div w:id="2022051088">
          <w:marLeft w:val="0"/>
          <w:marRight w:val="0"/>
          <w:marTop w:val="0"/>
          <w:marBottom w:val="0"/>
          <w:divBdr>
            <w:top w:val="none" w:sz="0" w:space="0" w:color="auto"/>
            <w:left w:val="none" w:sz="0" w:space="0" w:color="auto"/>
            <w:bottom w:val="none" w:sz="0" w:space="0" w:color="auto"/>
            <w:right w:val="none" w:sz="0" w:space="0" w:color="auto"/>
          </w:divBdr>
        </w:div>
        <w:div w:id="702100871">
          <w:marLeft w:val="0"/>
          <w:marRight w:val="0"/>
          <w:marTop w:val="0"/>
          <w:marBottom w:val="0"/>
          <w:divBdr>
            <w:top w:val="none" w:sz="0" w:space="0" w:color="auto"/>
            <w:left w:val="none" w:sz="0" w:space="0" w:color="auto"/>
            <w:bottom w:val="none" w:sz="0" w:space="0" w:color="auto"/>
            <w:right w:val="none" w:sz="0" w:space="0" w:color="auto"/>
          </w:divBdr>
        </w:div>
        <w:div w:id="68968153">
          <w:marLeft w:val="0"/>
          <w:marRight w:val="0"/>
          <w:marTop w:val="0"/>
          <w:marBottom w:val="0"/>
          <w:divBdr>
            <w:top w:val="none" w:sz="0" w:space="0" w:color="auto"/>
            <w:left w:val="none" w:sz="0" w:space="0" w:color="auto"/>
            <w:bottom w:val="none" w:sz="0" w:space="0" w:color="auto"/>
            <w:right w:val="none" w:sz="0" w:space="0" w:color="auto"/>
          </w:divBdr>
        </w:div>
        <w:div w:id="1086995946">
          <w:marLeft w:val="0"/>
          <w:marRight w:val="0"/>
          <w:marTop w:val="0"/>
          <w:marBottom w:val="0"/>
          <w:divBdr>
            <w:top w:val="none" w:sz="0" w:space="0" w:color="auto"/>
            <w:left w:val="none" w:sz="0" w:space="0" w:color="auto"/>
            <w:bottom w:val="none" w:sz="0" w:space="0" w:color="auto"/>
            <w:right w:val="none" w:sz="0" w:space="0" w:color="auto"/>
          </w:divBdr>
        </w:div>
        <w:div w:id="1416975552">
          <w:marLeft w:val="0"/>
          <w:marRight w:val="0"/>
          <w:marTop w:val="0"/>
          <w:marBottom w:val="0"/>
          <w:divBdr>
            <w:top w:val="none" w:sz="0" w:space="0" w:color="auto"/>
            <w:left w:val="none" w:sz="0" w:space="0" w:color="auto"/>
            <w:bottom w:val="none" w:sz="0" w:space="0" w:color="auto"/>
            <w:right w:val="none" w:sz="0" w:space="0" w:color="auto"/>
          </w:divBdr>
        </w:div>
        <w:div w:id="1776554233">
          <w:marLeft w:val="0"/>
          <w:marRight w:val="0"/>
          <w:marTop w:val="0"/>
          <w:marBottom w:val="0"/>
          <w:divBdr>
            <w:top w:val="none" w:sz="0" w:space="0" w:color="auto"/>
            <w:left w:val="none" w:sz="0" w:space="0" w:color="auto"/>
            <w:bottom w:val="none" w:sz="0" w:space="0" w:color="auto"/>
            <w:right w:val="none" w:sz="0" w:space="0" w:color="auto"/>
          </w:divBdr>
        </w:div>
        <w:div w:id="629673196">
          <w:marLeft w:val="0"/>
          <w:marRight w:val="0"/>
          <w:marTop w:val="0"/>
          <w:marBottom w:val="0"/>
          <w:divBdr>
            <w:top w:val="none" w:sz="0" w:space="0" w:color="auto"/>
            <w:left w:val="none" w:sz="0" w:space="0" w:color="auto"/>
            <w:bottom w:val="none" w:sz="0" w:space="0" w:color="auto"/>
            <w:right w:val="none" w:sz="0" w:space="0" w:color="auto"/>
          </w:divBdr>
        </w:div>
        <w:div w:id="1356074430">
          <w:marLeft w:val="0"/>
          <w:marRight w:val="0"/>
          <w:marTop w:val="0"/>
          <w:marBottom w:val="0"/>
          <w:divBdr>
            <w:top w:val="none" w:sz="0" w:space="0" w:color="auto"/>
            <w:left w:val="none" w:sz="0" w:space="0" w:color="auto"/>
            <w:bottom w:val="none" w:sz="0" w:space="0" w:color="auto"/>
            <w:right w:val="none" w:sz="0" w:space="0" w:color="auto"/>
          </w:divBdr>
        </w:div>
        <w:div w:id="1107046245">
          <w:marLeft w:val="0"/>
          <w:marRight w:val="0"/>
          <w:marTop w:val="0"/>
          <w:marBottom w:val="0"/>
          <w:divBdr>
            <w:top w:val="none" w:sz="0" w:space="0" w:color="auto"/>
            <w:left w:val="none" w:sz="0" w:space="0" w:color="auto"/>
            <w:bottom w:val="none" w:sz="0" w:space="0" w:color="auto"/>
            <w:right w:val="none" w:sz="0" w:space="0" w:color="auto"/>
          </w:divBdr>
        </w:div>
        <w:div w:id="1440295310">
          <w:marLeft w:val="0"/>
          <w:marRight w:val="0"/>
          <w:marTop w:val="0"/>
          <w:marBottom w:val="0"/>
          <w:divBdr>
            <w:top w:val="none" w:sz="0" w:space="0" w:color="auto"/>
            <w:left w:val="none" w:sz="0" w:space="0" w:color="auto"/>
            <w:bottom w:val="none" w:sz="0" w:space="0" w:color="auto"/>
            <w:right w:val="none" w:sz="0" w:space="0" w:color="auto"/>
          </w:divBdr>
        </w:div>
        <w:div w:id="820344578">
          <w:marLeft w:val="0"/>
          <w:marRight w:val="0"/>
          <w:marTop w:val="0"/>
          <w:marBottom w:val="0"/>
          <w:divBdr>
            <w:top w:val="none" w:sz="0" w:space="0" w:color="auto"/>
            <w:left w:val="none" w:sz="0" w:space="0" w:color="auto"/>
            <w:bottom w:val="none" w:sz="0" w:space="0" w:color="auto"/>
            <w:right w:val="none" w:sz="0" w:space="0" w:color="auto"/>
          </w:divBdr>
        </w:div>
        <w:div w:id="843015866">
          <w:marLeft w:val="0"/>
          <w:marRight w:val="0"/>
          <w:marTop w:val="0"/>
          <w:marBottom w:val="0"/>
          <w:divBdr>
            <w:top w:val="none" w:sz="0" w:space="0" w:color="auto"/>
            <w:left w:val="none" w:sz="0" w:space="0" w:color="auto"/>
            <w:bottom w:val="none" w:sz="0" w:space="0" w:color="auto"/>
            <w:right w:val="none" w:sz="0" w:space="0" w:color="auto"/>
          </w:divBdr>
        </w:div>
        <w:div w:id="451363411">
          <w:marLeft w:val="0"/>
          <w:marRight w:val="0"/>
          <w:marTop w:val="0"/>
          <w:marBottom w:val="0"/>
          <w:divBdr>
            <w:top w:val="none" w:sz="0" w:space="0" w:color="auto"/>
            <w:left w:val="none" w:sz="0" w:space="0" w:color="auto"/>
            <w:bottom w:val="none" w:sz="0" w:space="0" w:color="auto"/>
            <w:right w:val="none" w:sz="0" w:space="0" w:color="auto"/>
          </w:divBdr>
        </w:div>
        <w:div w:id="106000334">
          <w:marLeft w:val="0"/>
          <w:marRight w:val="0"/>
          <w:marTop w:val="0"/>
          <w:marBottom w:val="0"/>
          <w:divBdr>
            <w:top w:val="none" w:sz="0" w:space="0" w:color="auto"/>
            <w:left w:val="none" w:sz="0" w:space="0" w:color="auto"/>
            <w:bottom w:val="none" w:sz="0" w:space="0" w:color="auto"/>
            <w:right w:val="none" w:sz="0" w:space="0" w:color="auto"/>
          </w:divBdr>
        </w:div>
        <w:div w:id="1566259684">
          <w:marLeft w:val="0"/>
          <w:marRight w:val="0"/>
          <w:marTop w:val="0"/>
          <w:marBottom w:val="0"/>
          <w:divBdr>
            <w:top w:val="none" w:sz="0" w:space="0" w:color="auto"/>
            <w:left w:val="none" w:sz="0" w:space="0" w:color="auto"/>
            <w:bottom w:val="none" w:sz="0" w:space="0" w:color="auto"/>
            <w:right w:val="none" w:sz="0" w:space="0" w:color="auto"/>
          </w:divBdr>
        </w:div>
        <w:div w:id="15430917">
          <w:marLeft w:val="0"/>
          <w:marRight w:val="0"/>
          <w:marTop w:val="0"/>
          <w:marBottom w:val="0"/>
          <w:divBdr>
            <w:top w:val="none" w:sz="0" w:space="0" w:color="auto"/>
            <w:left w:val="none" w:sz="0" w:space="0" w:color="auto"/>
            <w:bottom w:val="none" w:sz="0" w:space="0" w:color="auto"/>
            <w:right w:val="none" w:sz="0" w:space="0" w:color="auto"/>
          </w:divBdr>
        </w:div>
        <w:div w:id="2051222364">
          <w:marLeft w:val="0"/>
          <w:marRight w:val="0"/>
          <w:marTop w:val="0"/>
          <w:marBottom w:val="0"/>
          <w:divBdr>
            <w:top w:val="none" w:sz="0" w:space="0" w:color="auto"/>
            <w:left w:val="none" w:sz="0" w:space="0" w:color="auto"/>
            <w:bottom w:val="none" w:sz="0" w:space="0" w:color="auto"/>
            <w:right w:val="none" w:sz="0" w:space="0" w:color="auto"/>
          </w:divBdr>
        </w:div>
        <w:div w:id="203250777">
          <w:marLeft w:val="0"/>
          <w:marRight w:val="0"/>
          <w:marTop w:val="0"/>
          <w:marBottom w:val="0"/>
          <w:divBdr>
            <w:top w:val="none" w:sz="0" w:space="0" w:color="auto"/>
            <w:left w:val="none" w:sz="0" w:space="0" w:color="auto"/>
            <w:bottom w:val="none" w:sz="0" w:space="0" w:color="auto"/>
            <w:right w:val="none" w:sz="0" w:space="0" w:color="auto"/>
          </w:divBdr>
        </w:div>
        <w:div w:id="1815752249">
          <w:marLeft w:val="0"/>
          <w:marRight w:val="0"/>
          <w:marTop w:val="0"/>
          <w:marBottom w:val="0"/>
          <w:divBdr>
            <w:top w:val="none" w:sz="0" w:space="0" w:color="auto"/>
            <w:left w:val="none" w:sz="0" w:space="0" w:color="auto"/>
            <w:bottom w:val="none" w:sz="0" w:space="0" w:color="auto"/>
            <w:right w:val="none" w:sz="0" w:space="0" w:color="auto"/>
          </w:divBdr>
        </w:div>
        <w:div w:id="1614290896">
          <w:marLeft w:val="0"/>
          <w:marRight w:val="0"/>
          <w:marTop w:val="0"/>
          <w:marBottom w:val="0"/>
          <w:divBdr>
            <w:top w:val="none" w:sz="0" w:space="0" w:color="auto"/>
            <w:left w:val="none" w:sz="0" w:space="0" w:color="auto"/>
            <w:bottom w:val="none" w:sz="0" w:space="0" w:color="auto"/>
            <w:right w:val="none" w:sz="0" w:space="0" w:color="auto"/>
          </w:divBdr>
        </w:div>
        <w:div w:id="243681958">
          <w:marLeft w:val="0"/>
          <w:marRight w:val="0"/>
          <w:marTop w:val="0"/>
          <w:marBottom w:val="0"/>
          <w:divBdr>
            <w:top w:val="none" w:sz="0" w:space="0" w:color="auto"/>
            <w:left w:val="none" w:sz="0" w:space="0" w:color="auto"/>
            <w:bottom w:val="none" w:sz="0" w:space="0" w:color="auto"/>
            <w:right w:val="none" w:sz="0" w:space="0" w:color="auto"/>
          </w:divBdr>
        </w:div>
        <w:div w:id="1608347648">
          <w:marLeft w:val="0"/>
          <w:marRight w:val="0"/>
          <w:marTop w:val="0"/>
          <w:marBottom w:val="0"/>
          <w:divBdr>
            <w:top w:val="none" w:sz="0" w:space="0" w:color="auto"/>
            <w:left w:val="none" w:sz="0" w:space="0" w:color="auto"/>
            <w:bottom w:val="none" w:sz="0" w:space="0" w:color="auto"/>
            <w:right w:val="none" w:sz="0" w:space="0" w:color="auto"/>
          </w:divBdr>
        </w:div>
        <w:div w:id="1387485650">
          <w:marLeft w:val="0"/>
          <w:marRight w:val="0"/>
          <w:marTop w:val="0"/>
          <w:marBottom w:val="0"/>
          <w:divBdr>
            <w:top w:val="none" w:sz="0" w:space="0" w:color="auto"/>
            <w:left w:val="none" w:sz="0" w:space="0" w:color="auto"/>
            <w:bottom w:val="none" w:sz="0" w:space="0" w:color="auto"/>
            <w:right w:val="none" w:sz="0" w:space="0" w:color="auto"/>
          </w:divBdr>
        </w:div>
        <w:div w:id="1973318740">
          <w:marLeft w:val="0"/>
          <w:marRight w:val="0"/>
          <w:marTop w:val="0"/>
          <w:marBottom w:val="0"/>
          <w:divBdr>
            <w:top w:val="none" w:sz="0" w:space="0" w:color="auto"/>
            <w:left w:val="none" w:sz="0" w:space="0" w:color="auto"/>
            <w:bottom w:val="none" w:sz="0" w:space="0" w:color="auto"/>
            <w:right w:val="none" w:sz="0" w:space="0" w:color="auto"/>
          </w:divBdr>
        </w:div>
        <w:div w:id="2015036476">
          <w:marLeft w:val="0"/>
          <w:marRight w:val="0"/>
          <w:marTop w:val="0"/>
          <w:marBottom w:val="0"/>
          <w:divBdr>
            <w:top w:val="none" w:sz="0" w:space="0" w:color="auto"/>
            <w:left w:val="none" w:sz="0" w:space="0" w:color="auto"/>
            <w:bottom w:val="none" w:sz="0" w:space="0" w:color="auto"/>
            <w:right w:val="none" w:sz="0" w:space="0" w:color="auto"/>
          </w:divBdr>
        </w:div>
        <w:div w:id="49113044">
          <w:marLeft w:val="0"/>
          <w:marRight w:val="0"/>
          <w:marTop w:val="0"/>
          <w:marBottom w:val="0"/>
          <w:divBdr>
            <w:top w:val="none" w:sz="0" w:space="0" w:color="auto"/>
            <w:left w:val="none" w:sz="0" w:space="0" w:color="auto"/>
            <w:bottom w:val="none" w:sz="0" w:space="0" w:color="auto"/>
            <w:right w:val="none" w:sz="0" w:space="0" w:color="auto"/>
          </w:divBdr>
        </w:div>
        <w:div w:id="1568539624">
          <w:marLeft w:val="0"/>
          <w:marRight w:val="0"/>
          <w:marTop w:val="0"/>
          <w:marBottom w:val="0"/>
          <w:divBdr>
            <w:top w:val="none" w:sz="0" w:space="0" w:color="auto"/>
            <w:left w:val="none" w:sz="0" w:space="0" w:color="auto"/>
            <w:bottom w:val="none" w:sz="0" w:space="0" w:color="auto"/>
            <w:right w:val="none" w:sz="0" w:space="0" w:color="auto"/>
          </w:divBdr>
        </w:div>
        <w:div w:id="1753356155">
          <w:marLeft w:val="0"/>
          <w:marRight w:val="0"/>
          <w:marTop w:val="0"/>
          <w:marBottom w:val="0"/>
          <w:divBdr>
            <w:top w:val="none" w:sz="0" w:space="0" w:color="auto"/>
            <w:left w:val="none" w:sz="0" w:space="0" w:color="auto"/>
            <w:bottom w:val="none" w:sz="0" w:space="0" w:color="auto"/>
            <w:right w:val="none" w:sz="0" w:space="0" w:color="auto"/>
          </w:divBdr>
        </w:div>
        <w:div w:id="1343554351">
          <w:marLeft w:val="0"/>
          <w:marRight w:val="0"/>
          <w:marTop w:val="0"/>
          <w:marBottom w:val="0"/>
          <w:divBdr>
            <w:top w:val="none" w:sz="0" w:space="0" w:color="auto"/>
            <w:left w:val="none" w:sz="0" w:space="0" w:color="auto"/>
            <w:bottom w:val="none" w:sz="0" w:space="0" w:color="auto"/>
            <w:right w:val="none" w:sz="0" w:space="0" w:color="auto"/>
          </w:divBdr>
        </w:div>
        <w:div w:id="737751174">
          <w:marLeft w:val="0"/>
          <w:marRight w:val="0"/>
          <w:marTop w:val="0"/>
          <w:marBottom w:val="0"/>
          <w:divBdr>
            <w:top w:val="none" w:sz="0" w:space="0" w:color="auto"/>
            <w:left w:val="none" w:sz="0" w:space="0" w:color="auto"/>
            <w:bottom w:val="none" w:sz="0" w:space="0" w:color="auto"/>
            <w:right w:val="none" w:sz="0" w:space="0" w:color="auto"/>
          </w:divBdr>
        </w:div>
        <w:div w:id="772356745">
          <w:marLeft w:val="0"/>
          <w:marRight w:val="0"/>
          <w:marTop w:val="0"/>
          <w:marBottom w:val="0"/>
          <w:divBdr>
            <w:top w:val="none" w:sz="0" w:space="0" w:color="auto"/>
            <w:left w:val="none" w:sz="0" w:space="0" w:color="auto"/>
            <w:bottom w:val="none" w:sz="0" w:space="0" w:color="auto"/>
            <w:right w:val="none" w:sz="0" w:space="0" w:color="auto"/>
          </w:divBdr>
        </w:div>
        <w:div w:id="1071777699">
          <w:marLeft w:val="0"/>
          <w:marRight w:val="0"/>
          <w:marTop w:val="0"/>
          <w:marBottom w:val="0"/>
          <w:divBdr>
            <w:top w:val="none" w:sz="0" w:space="0" w:color="auto"/>
            <w:left w:val="none" w:sz="0" w:space="0" w:color="auto"/>
            <w:bottom w:val="none" w:sz="0" w:space="0" w:color="auto"/>
            <w:right w:val="none" w:sz="0" w:space="0" w:color="auto"/>
          </w:divBdr>
        </w:div>
        <w:div w:id="2076658907">
          <w:marLeft w:val="0"/>
          <w:marRight w:val="0"/>
          <w:marTop w:val="0"/>
          <w:marBottom w:val="0"/>
          <w:divBdr>
            <w:top w:val="none" w:sz="0" w:space="0" w:color="auto"/>
            <w:left w:val="none" w:sz="0" w:space="0" w:color="auto"/>
            <w:bottom w:val="none" w:sz="0" w:space="0" w:color="auto"/>
            <w:right w:val="none" w:sz="0" w:space="0" w:color="auto"/>
          </w:divBdr>
        </w:div>
        <w:div w:id="363293102">
          <w:marLeft w:val="0"/>
          <w:marRight w:val="0"/>
          <w:marTop w:val="0"/>
          <w:marBottom w:val="0"/>
          <w:divBdr>
            <w:top w:val="none" w:sz="0" w:space="0" w:color="auto"/>
            <w:left w:val="none" w:sz="0" w:space="0" w:color="auto"/>
            <w:bottom w:val="none" w:sz="0" w:space="0" w:color="auto"/>
            <w:right w:val="none" w:sz="0" w:space="0" w:color="auto"/>
          </w:divBdr>
        </w:div>
        <w:div w:id="1886915961">
          <w:marLeft w:val="0"/>
          <w:marRight w:val="0"/>
          <w:marTop w:val="0"/>
          <w:marBottom w:val="0"/>
          <w:divBdr>
            <w:top w:val="none" w:sz="0" w:space="0" w:color="auto"/>
            <w:left w:val="none" w:sz="0" w:space="0" w:color="auto"/>
            <w:bottom w:val="none" w:sz="0" w:space="0" w:color="auto"/>
            <w:right w:val="none" w:sz="0" w:space="0" w:color="auto"/>
          </w:divBdr>
        </w:div>
        <w:div w:id="1921404758">
          <w:marLeft w:val="0"/>
          <w:marRight w:val="0"/>
          <w:marTop w:val="0"/>
          <w:marBottom w:val="0"/>
          <w:divBdr>
            <w:top w:val="none" w:sz="0" w:space="0" w:color="auto"/>
            <w:left w:val="none" w:sz="0" w:space="0" w:color="auto"/>
            <w:bottom w:val="none" w:sz="0" w:space="0" w:color="auto"/>
            <w:right w:val="none" w:sz="0" w:space="0" w:color="auto"/>
          </w:divBdr>
        </w:div>
        <w:div w:id="1012881793">
          <w:marLeft w:val="0"/>
          <w:marRight w:val="0"/>
          <w:marTop w:val="0"/>
          <w:marBottom w:val="0"/>
          <w:divBdr>
            <w:top w:val="none" w:sz="0" w:space="0" w:color="auto"/>
            <w:left w:val="none" w:sz="0" w:space="0" w:color="auto"/>
            <w:bottom w:val="none" w:sz="0" w:space="0" w:color="auto"/>
            <w:right w:val="none" w:sz="0" w:space="0" w:color="auto"/>
          </w:divBdr>
        </w:div>
        <w:div w:id="1325552862">
          <w:marLeft w:val="0"/>
          <w:marRight w:val="0"/>
          <w:marTop w:val="0"/>
          <w:marBottom w:val="0"/>
          <w:divBdr>
            <w:top w:val="none" w:sz="0" w:space="0" w:color="auto"/>
            <w:left w:val="none" w:sz="0" w:space="0" w:color="auto"/>
            <w:bottom w:val="none" w:sz="0" w:space="0" w:color="auto"/>
            <w:right w:val="none" w:sz="0" w:space="0" w:color="auto"/>
          </w:divBdr>
        </w:div>
        <w:div w:id="1529444601">
          <w:marLeft w:val="0"/>
          <w:marRight w:val="0"/>
          <w:marTop w:val="0"/>
          <w:marBottom w:val="0"/>
          <w:divBdr>
            <w:top w:val="none" w:sz="0" w:space="0" w:color="auto"/>
            <w:left w:val="none" w:sz="0" w:space="0" w:color="auto"/>
            <w:bottom w:val="none" w:sz="0" w:space="0" w:color="auto"/>
            <w:right w:val="none" w:sz="0" w:space="0" w:color="auto"/>
          </w:divBdr>
        </w:div>
        <w:div w:id="218321836">
          <w:marLeft w:val="0"/>
          <w:marRight w:val="0"/>
          <w:marTop w:val="0"/>
          <w:marBottom w:val="0"/>
          <w:divBdr>
            <w:top w:val="none" w:sz="0" w:space="0" w:color="auto"/>
            <w:left w:val="none" w:sz="0" w:space="0" w:color="auto"/>
            <w:bottom w:val="none" w:sz="0" w:space="0" w:color="auto"/>
            <w:right w:val="none" w:sz="0" w:space="0" w:color="auto"/>
          </w:divBdr>
        </w:div>
        <w:div w:id="112792467">
          <w:marLeft w:val="0"/>
          <w:marRight w:val="0"/>
          <w:marTop w:val="0"/>
          <w:marBottom w:val="0"/>
          <w:divBdr>
            <w:top w:val="none" w:sz="0" w:space="0" w:color="auto"/>
            <w:left w:val="none" w:sz="0" w:space="0" w:color="auto"/>
            <w:bottom w:val="none" w:sz="0" w:space="0" w:color="auto"/>
            <w:right w:val="none" w:sz="0" w:space="0" w:color="auto"/>
          </w:divBdr>
        </w:div>
        <w:div w:id="204027143">
          <w:marLeft w:val="0"/>
          <w:marRight w:val="0"/>
          <w:marTop w:val="0"/>
          <w:marBottom w:val="0"/>
          <w:divBdr>
            <w:top w:val="none" w:sz="0" w:space="0" w:color="auto"/>
            <w:left w:val="none" w:sz="0" w:space="0" w:color="auto"/>
            <w:bottom w:val="none" w:sz="0" w:space="0" w:color="auto"/>
            <w:right w:val="none" w:sz="0" w:space="0" w:color="auto"/>
          </w:divBdr>
        </w:div>
        <w:div w:id="1429542972">
          <w:marLeft w:val="0"/>
          <w:marRight w:val="0"/>
          <w:marTop w:val="0"/>
          <w:marBottom w:val="0"/>
          <w:divBdr>
            <w:top w:val="none" w:sz="0" w:space="0" w:color="auto"/>
            <w:left w:val="none" w:sz="0" w:space="0" w:color="auto"/>
            <w:bottom w:val="none" w:sz="0" w:space="0" w:color="auto"/>
            <w:right w:val="none" w:sz="0" w:space="0" w:color="auto"/>
          </w:divBdr>
        </w:div>
        <w:div w:id="1144741814">
          <w:marLeft w:val="0"/>
          <w:marRight w:val="0"/>
          <w:marTop w:val="0"/>
          <w:marBottom w:val="0"/>
          <w:divBdr>
            <w:top w:val="none" w:sz="0" w:space="0" w:color="auto"/>
            <w:left w:val="none" w:sz="0" w:space="0" w:color="auto"/>
            <w:bottom w:val="none" w:sz="0" w:space="0" w:color="auto"/>
            <w:right w:val="none" w:sz="0" w:space="0" w:color="auto"/>
          </w:divBdr>
        </w:div>
        <w:div w:id="2084641843">
          <w:marLeft w:val="0"/>
          <w:marRight w:val="0"/>
          <w:marTop w:val="0"/>
          <w:marBottom w:val="0"/>
          <w:divBdr>
            <w:top w:val="none" w:sz="0" w:space="0" w:color="auto"/>
            <w:left w:val="none" w:sz="0" w:space="0" w:color="auto"/>
            <w:bottom w:val="none" w:sz="0" w:space="0" w:color="auto"/>
            <w:right w:val="none" w:sz="0" w:space="0" w:color="auto"/>
          </w:divBdr>
        </w:div>
        <w:div w:id="1806198212">
          <w:marLeft w:val="0"/>
          <w:marRight w:val="0"/>
          <w:marTop w:val="0"/>
          <w:marBottom w:val="0"/>
          <w:divBdr>
            <w:top w:val="none" w:sz="0" w:space="0" w:color="auto"/>
            <w:left w:val="none" w:sz="0" w:space="0" w:color="auto"/>
            <w:bottom w:val="none" w:sz="0" w:space="0" w:color="auto"/>
            <w:right w:val="none" w:sz="0" w:space="0" w:color="auto"/>
          </w:divBdr>
        </w:div>
        <w:div w:id="901211183">
          <w:marLeft w:val="0"/>
          <w:marRight w:val="0"/>
          <w:marTop w:val="0"/>
          <w:marBottom w:val="0"/>
          <w:divBdr>
            <w:top w:val="none" w:sz="0" w:space="0" w:color="auto"/>
            <w:left w:val="none" w:sz="0" w:space="0" w:color="auto"/>
            <w:bottom w:val="none" w:sz="0" w:space="0" w:color="auto"/>
            <w:right w:val="none" w:sz="0" w:space="0" w:color="auto"/>
          </w:divBdr>
        </w:div>
        <w:div w:id="321853500">
          <w:marLeft w:val="0"/>
          <w:marRight w:val="0"/>
          <w:marTop w:val="0"/>
          <w:marBottom w:val="0"/>
          <w:divBdr>
            <w:top w:val="none" w:sz="0" w:space="0" w:color="auto"/>
            <w:left w:val="none" w:sz="0" w:space="0" w:color="auto"/>
            <w:bottom w:val="none" w:sz="0" w:space="0" w:color="auto"/>
            <w:right w:val="none" w:sz="0" w:space="0" w:color="auto"/>
          </w:divBdr>
        </w:div>
        <w:div w:id="1422683583">
          <w:marLeft w:val="0"/>
          <w:marRight w:val="0"/>
          <w:marTop w:val="0"/>
          <w:marBottom w:val="0"/>
          <w:divBdr>
            <w:top w:val="none" w:sz="0" w:space="0" w:color="auto"/>
            <w:left w:val="none" w:sz="0" w:space="0" w:color="auto"/>
            <w:bottom w:val="none" w:sz="0" w:space="0" w:color="auto"/>
            <w:right w:val="none" w:sz="0" w:space="0" w:color="auto"/>
          </w:divBdr>
        </w:div>
        <w:div w:id="1339192544">
          <w:marLeft w:val="0"/>
          <w:marRight w:val="0"/>
          <w:marTop w:val="0"/>
          <w:marBottom w:val="0"/>
          <w:divBdr>
            <w:top w:val="none" w:sz="0" w:space="0" w:color="auto"/>
            <w:left w:val="none" w:sz="0" w:space="0" w:color="auto"/>
            <w:bottom w:val="none" w:sz="0" w:space="0" w:color="auto"/>
            <w:right w:val="none" w:sz="0" w:space="0" w:color="auto"/>
          </w:divBdr>
        </w:div>
        <w:div w:id="1697537217">
          <w:marLeft w:val="0"/>
          <w:marRight w:val="0"/>
          <w:marTop w:val="0"/>
          <w:marBottom w:val="0"/>
          <w:divBdr>
            <w:top w:val="none" w:sz="0" w:space="0" w:color="auto"/>
            <w:left w:val="none" w:sz="0" w:space="0" w:color="auto"/>
            <w:bottom w:val="none" w:sz="0" w:space="0" w:color="auto"/>
            <w:right w:val="none" w:sz="0" w:space="0" w:color="auto"/>
          </w:divBdr>
        </w:div>
        <w:div w:id="2122190180">
          <w:marLeft w:val="0"/>
          <w:marRight w:val="0"/>
          <w:marTop w:val="0"/>
          <w:marBottom w:val="0"/>
          <w:divBdr>
            <w:top w:val="none" w:sz="0" w:space="0" w:color="auto"/>
            <w:left w:val="none" w:sz="0" w:space="0" w:color="auto"/>
            <w:bottom w:val="none" w:sz="0" w:space="0" w:color="auto"/>
            <w:right w:val="none" w:sz="0" w:space="0" w:color="auto"/>
          </w:divBdr>
        </w:div>
        <w:div w:id="1024594361">
          <w:marLeft w:val="0"/>
          <w:marRight w:val="0"/>
          <w:marTop w:val="0"/>
          <w:marBottom w:val="0"/>
          <w:divBdr>
            <w:top w:val="none" w:sz="0" w:space="0" w:color="auto"/>
            <w:left w:val="none" w:sz="0" w:space="0" w:color="auto"/>
            <w:bottom w:val="none" w:sz="0" w:space="0" w:color="auto"/>
            <w:right w:val="none" w:sz="0" w:space="0" w:color="auto"/>
          </w:divBdr>
        </w:div>
        <w:div w:id="1677534183">
          <w:marLeft w:val="0"/>
          <w:marRight w:val="0"/>
          <w:marTop w:val="0"/>
          <w:marBottom w:val="0"/>
          <w:divBdr>
            <w:top w:val="none" w:sz="0" w:space="0" w:color="auto"/>
            <w:left w:val="none" w:sz="0" w:space="0" w:color="auto"/>
            <w:bottom w:val="none" w:sz="0" w:space="0" w:color="auto"/>
            <w:right w:val="none" w:sz="0" w:space="0" w:color="auto"/>
          </w:divBdr>
        </w:div>
        <w:div w:id="1684628233">
          <w:marLeft w:val="0"/>
          <w:marRight w:val="0"/>
          <w:marTop w:val="0"/>
          <w:marBottom w:val="0"/>
          <w:divBdr>
            <w:top w:val="none" w:sz="0" w:space="0" w:color="auto"/>
            <w:left w:val="none" w:sz="0" w:space="0" w:color="auto"/>
            <w:bottom w:val="none" w:sz="0" w:space="0" w:color="auto"/>
            <w:right w:val="none" w:sz="0" w:space="0" w:color="auto"/>
          </w:divBdr>
        </w:div>
        <w:div w:id="1845977400">
          <w:marLeft w:val="0"/>
          <w:marRight w:val="0"/>
          <w:marTop w:val="0"/>
          <w:marBottom w:val="0"/>
          <w:divBdr>
            <w:top w:val="none" w:sz="0" w:space="0" w:color="auto"/>
            <w:left w:val="none" w:sz="0" w:space="0" w:color="auto"/>
            <w:bottom w:val="none" w:sz="0" w:space="0" w:color="auto"/>
            <w:right w:val="none" w:sz="0" w:space="0" w:color="auto"/>
          </w:divBdr>
        </w:div>
        <w:div w:id="984629782">
          <w:marLeft w:val="0"/>
          <w:marRight w:val="0"/>
          <w:marTop w:val="0"/>
          <w:marBottom w:val="0"/>
          <w:divBdr>
            <w:top w:val="none" w:sz="0" w:space="0" w:color="auto"/>
            <w:left w:val="none" w:sz="0" w:space="0" w:color="auto"/>
            <w:bottom w:val="none" w:sz="0" w:space="0" w:color="auto"/>
            <w:right w:val="none" w:sz="0" w:space="0" w:color="auto"/>
          </w:divBdr>
        </w:div>
        <w:div w:id="1939479138">
          <w:marLeft w:val="0"/>
          <w:marRight w:val="0"/>
          <w:marTop w:val="0"/>
          <w:marBottom w:val="0"/>
          <w:divBdr>
            <w:top w:val="none" w:sz="0" w:space="0" w:color="auto"/>
            <w:left w:val="none" w:sz="0" w:space="0" w:color="auto"/>
            <w:bottom w:val="none" w:sz="0" w:space="0" w:color="auto"/>
            <w:right w:val="none" w:sz="0" w:space="0" w:color="auto"/>
          </w:divBdr>
        </w:div>
        <w:div w:id="709963064">
          <w:marLeft w:val="0"/>
          <w:marRight w:val="0"/>
          <w:marTop w:val="0"/>
          <w:marBottom w:val="0"/>
          <w:divBdr>
            <w:top w:val="none" w:sz="0" w:space="0" w:color="auto"/>
            <w:left w:val="none" w:sz="0" w:space="0" w:color="auto"/>
            <w:bottom w:val="none" w:sz="0" w:space="0" w:color="auto"/>
            <w:right w:val="none" w:sz="0" w:space="0" w:color="auto"/>
          </w:divBdr>
        </w:div>
        <w:div w:id="1432703352">
          <w:marLeft w:val="0"/>
          <w:marRight w:val="0"/>
          <w:marTop w:val="0"/>
          <w:marBottom w:val="0"/>
          <w:divBdr>
            <w:top w:val="none" w:sz="0" w:space="0" w:color="auto"/>
            <w:left w:val="none" w:sz="0" w:space="0" w:color="auto"/>
            <w:bottom w:val="none" w:sz="0" w:space="0" w:color="auto"/>
            <w:right w:val="none" w:sz="0" w:space="0" w:color="auto"/>
          </w:divBdr>
        </w:div>
        <w:div w:id="154493707">
          <w:marLeft w:val="0"/>
          <w:marRight w:val="0"/>
          <w:marTop w:val="0"/>
          <w:marBottom w:val="0"/>
          <w:divBdr>
            <w:top w:val="none" w:sz="0" w:space="0" w:color="auto"/>
            <w:left w:val="none" w:sz="0" w:space="0" w:color="auto"/>
            <w:bottom w:val="none" w:sz="0" w:space="0" w:color="auto"/>
            <w:right w:val="none" w:sz="0" w:space="0" w:color="auto"/>
          </w:divBdr>
        </w:div>
        <w:div w:id="938677098">
          <w:marLeft w:val="0"/>
          <w:marRight w:val="0"/>
          <w:marTop w:val="0"/>
          <w:marBottom w:val="0"/>
          <w:divBdr>
            <w:top w:val="none" w:sz="0" w:space="0" w:color="auto"/>
            <w:left w:val="none" w:sz="0" w:space="0" w:color="auto"/>
            <w:bottom w:val="none" w:sz="0" w:space="0" w:color="auto"/>
            <w:right w:val="none" w:sz="0" w:space="0" w:color="auto"/>
          </w:divBdr>
        </w:div>
        <w:div w:id="1464425265">
          <w:marLeft w:val="0"/>
          <w:marRight w:val="0"/>
          <w:marTop w:val="0"/>
          <w:marBottom w:val="0"/>
          <w:divBdr>
            <w:top w:val="none" w:sz="0" w:space="0" w:color="auto"/>
            <w:left w:val="none" w:sz="0" w:space="0" w:color="auto"/>
            <w:bottom w:val="none" w:sz="0" w:space="0" w:color="auto"/>
            <w:right w:val="none" w:sz="0" w:space="0" w:color="auto"/>
          </w:divBdr>
        </w:div>
        <w:div w:id="467015195">
          <w:marLeft w:val="0"/>
          <w:marRight w:val="0"/>
          <w:marTop w:val="0"/>
          <w:marBottom w:val="0"/>
          <w:divBdr>
            <w:top w:val="none" w:sz="0" w:space="0" w:color="auto"/>
            <w:left w:val="none" w:sz="0" w:space="0" w:color="auto"/>
            <w:bottom w:val="none" w:sz="0" w:space="0" w:color="auto"/>
            <w:right w:val="none" w:sz="0" w:space="0" w:color="auto"/>
          </w:divBdr>
        </w:div>
        <w:div w:id="205409468">
          <w:marLeft w:val="0"/>
          <w:marRight w:val="0"/>
          <w:marTop w:val="0"/>
          <w:marBottom w:val="0"/>
          <w:divBdr>
            <w:top w:val="none" w:sz="0" w:space="0" w:color="auto"/>
            <w:left w:val="none" w:sz="0" w:space="0" w:color="auto"/>
            <w:bottom w:val="none" w:sz="0" w:space="0" w:color="auto"/>
            <w:right w:val="none" w:sz="0" w:space="0" w:color="auto"/>
          </w:divBdr>
        </w:div>
        <w:div w:id="1881165823">
          <w:marLeft w:val="0"/>
          <w:marRight w:val="0"/>
          <w:marTop w:val="0"/>
          <w:marBottom w:val="0"/>
          <w:divBdr>
            <w:top w:val="none" w:sz="0" w:space="0" w:color="auto"/>
            <w:left w:val="none" w:sz="0" w:space="0" w:color="auto"/>
            <w:bottom w:val="none" w:sz="0" w:space="0" w:color="auto"/>
            <w:right w:val="none" w:sz="0" w:space="0" w:color="auto"/>
          </w:divBdr>
        </w:div>
        <w:div w:id="112945039">
          <w:marLeft w:val="0"/>
          <w:marRight w:val="0"/>
          <w:marTop w:val="0"/>
          <w:marBottom w:val="0"/>
          <w:divBdr>
            <w:top w:val="none" w:sz="0" w:space="0" w:color="auto"/>
            <w:left w:val="none" w:sz="0" w:space="0" w:color="auto"/>
            <w:bottom w:val="none" w:sz="0" w:space="0" w:color="auto"/>
            <w:right w:val="none" w:sz="0" w:space="0" w:color="auto"/>
          </w:divBdr>
        </w:div>
        <w:div w:id="2146661286">
          <w:marLeft w:val="0"/>
          <w:marRight w:val="0"/>
          <w:marTop w:val="0"/>
          <w:marBottom w:val="0"/>
          <w:divBdr>
            <w:top w:val="none" w:sz="0" w:space="0" w:color="auto"/>
            <w:left w:val="none" w:sz="0" w:space="0" w:color="auto"/>
            <w:bottom w:val="none" w:sz="0" w:space="0" w:color="auto"/>
            <w:right w:val="none" w:sz="0" w:space="0" w:color="auto"/>
          </w:divBdr>
        </w:div>
        <w:div w:id="1534414349">
          <w:marLeft w:val="0"/>
          <w:marRight w:val="0"/>
          <w:marTop w:val="0"/>
          <w:marBottom w:val="0"/>
          <w:divBdr>
            <w:top w:val="none" w:sz="0" w:space="0" w:color="auto"/>
            <w:left w:val="none" w:sz="0" w:space="0" w:color="auto"/>
            <w:bottom w:val="none" w:sz="0" w:space="0" w:color="auto"/>
            <w:right w:val="none" w:sz="0" w:space="0" w:color="auto"/>
          </w:divBdr>
        </w:div>
        <w:div w:id="1757632908">
          <w:marLeft w:val="0"/>
          <w:marRight w:val="0"/>
          <w:marTop w:val="0"/>
          <w:marBottom w:val="0"/>
          <w:divBdr>
            <w:top w:val="none" w:sz="0" w:space="0" w:color="auto"/>
            <w:left w:val="none" w:sz="0" w:space="0" w:color="auto"/>
            <w:bottom w:val="none" w:sz="0" w:space="0" w:color="auto"/>
            <w:right w:val="none" w:sz="0" w:space="0" w:color="auto"/>
          </w:divBdr>
        </w:div>
        <w:div w:id="1708599752">
          <w:marLeft w:val="0"/>
          <w:marRight w:val="0"/>
          <w:marTop w:val="0"/>
          <w:marBottom w:val="0"/>
          <w:divBdr>
            <w:top w:val="none" w:sz="0" w:space="0" w:color="auto"/>
            <w:left w:val="none" w:sz="0" w:space="0" w:color="auto"/>
            <w:bottom w:val="none" w:sz="0" w:space="0" w:color="auto"/>
            <w:right w:val="none" w:sz="0" w:space="0" w:color="auto"/>
          </w:divBdr>
        </w:div>
        <w:div w:id="2113239048">
          <w:marLeft w:val="0"/>
          <w:marRight w:val="0"/>
          <w:marTop w:val="0"/>
          <w:marBottom w:val="0"/>
          <w:divBdr>
            <w:top w:val="none" w:sz="0" w:space="0" w:color="auto"/>
            <w:left w:val="none" w:sz="0" w:space="0" w:color="auto"/>
            <w:bottom w:val="none" w:sz="0" w:space="0" w:color="auto"/>
            <w:right w:val="none" w:sz="0" w:space="0" w:color="auto"/>
          </w:divBdr>
        </w:div>
        <w:div w:id="50078456">
          <w:marLeft w:val="0"/>
          <w:marRight w:val="0"/>
          <w:marTop w:val="0"/>
          <w:marBottom w:val="0"/>
          <w:divBdr>
            <w:top w:val="none" w:sz="0" w:space="0" w:color="auto"/>
            <w:left w:val="none" w:sz="0" w:space="0" w:color="auto"/>
            <w:bottom w:val="none" w:sz="0" w:space="0" w:color="auto"/>
            <w:right w:val="none" w:sz="0" w:space="0" w:color="auto"/>
          </w:divBdr>
        </w:div>
        <w:div w:id="21705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2598</Words>
  <Characters>15593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3</cp:revision>
  <dcterms:created xsi:type="dcterms:W3CDTF">2018-09-23T06:25:00Z</dcterms:created>
  <dcterms:modified xsi:type="dcterms:W3CDTF">2018-09-23T18:01:00Z</dcterms:modified>
</cp:coreProperties>
</file>